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rPr>
          <w:rFonts w:hint="eastAsia" w:hAnsi="黑体" w:cs="黑体"/>
        </w:rPr>
      </w:pPr>
      <w:bookmarkStart w:id="0" w:name="StandardName"/>
      <w:r>
        <w:rPr>
          <w:rFonts w:hint="eastAsia" w:hAnsi="黑体" w:cs="黑体"/>
        </w:rPr>
        <w:t>ICS 080</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9854" w:type="dxa"/>
            <w:tcBorders>
              <w:top w:val="nil"/>
              <w:left w:val="nil"/>
              <w:bottom w:val="nil"/>
              <w:right w:val="nil"/>
            </w:tcBorders>
            <w:noWrap w:val="0"/>
            <w:vAlign w:val="top"/>
          </w:tcPr>
          <w:p>
            <w:pPr>
              <w:pStyle w:val="22"/>
            </w:pPr>
            <w:r>
              <w:rPr>
                <w:rFonts w:hint="eastAsia"/>
              </w:rPr>
              <w:t xml:space="preserve">CCS </w:t>
            </w:r>
            <w:r>
              <w:rPr>
                <w:rFonts w:hint="default"/>
                <w:lang w:val="en-US"/>
              </w:rPr>
              <mc:AlternateContent>
                <mc:Choice Requires="wps">
                  <w:drawing>
                    <wp:anchor distT="0" distB="0" distL="114300" distR="114300" simplePos="0" relativeHeight="251668480" behindDoc="1" locked="0" layoutInCell="1" allowOverlap="1">
                      <wp:simplePos x="0" y="0"/>
                      <wp:positionH relativeFrom="column">
                        <wp:posOffset>238125</wp:posOffset>
                      </wp:positionH>
                      <wp:positionV relativeFrom="paragraph">
                        <wp:posOffset>304800</wp:posOffset>
                      </wp:positionV>
                      <wp:extent cx="866775" cy="198120"/>
                      <wp:effectExtent l="0" t="0" r="1905" b="0"/>
                      <wp:wrapNone/>
                      <wp:docPr id="15" name="矩形 4"/>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upright="1"/>
                          </wps:wsp>
                        </a:graphicData>
                      </a:graphic>
                    </wp:anchor>
                  </w:drawing>
                </mc:Choice>
                <mc:Fallback>
                  <w:pict>
                    <v:rect id="矩形 4" o:spid="_x0000_s1026" o:spt="1" style="position:absolute;left:0pt;margin-left:18.75pt;margin-top:24pt;height:15.6pt;width:68.25pt;z-index:-251648000;mso-width-relative:page;mso-height-relative:page;" fillcolor="#FFFFFF" filled="t" stroked="f" coordsize="21600,21600" o:gfxdata="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PhJ7XAAAACAEAAA8AAAAAAAAAAQAgAAAAIgAAAGRycy9kb3ducmV2LnhtbFBLAQIUABQA&#10;AAAIAIdO4kCpElzeuAEAAGoDAAAOAAAAAAAAAAEAIAAAACYBAABkcnMvZTJvRG9jLnhtbFBLBQYA&#10;AAAABgAGAFkBAABQBQAAAAA=&#10;">
                      <v:fill on="t" focussize="0,0"/>
                      <v:stroke on="f"/>
                      <v:imagedata o:title=""/>
                      <o:lock v:ext="edit" aspectratio="f"/>
                      <v:textbox>
                        <w:txbxContent>
                          <w:p/>
                        </w:txbxContent>
                      </v:textbox>
                    </v:rect>
                  </w:pict>
                </mc:Fallback>
              </mc:AlternateContent>
            </w:r>
            <w:r>
              <w:rPr>
                <w:rFonts w:hint="eastAsia"/>
                <w:lang w:val="en-US" w:eastAsia="zh-CN"/>
              </w:rPr>
              <w:t>L</w:t>
            </w:r>
            <w:r>
              <w:rPr>
                <w:rFonts w:hint="eastAsia"/>
              </w:rPr>
              <w:t xml:space="preserve"> </w:t>
            </w:r>
            <w:r>
              <mc:AlternateContent>
                <mc:Choice Requires="wps">
                  <w:drawing>
                    <wp:anchor distT="0" distB="0" distL="114300" distR="114300" simplePos="0" relativeHeight="251667456" behindDoc="1" locked="0" layoutInCell="1" allowOverlap="1">
                      <wp:simplePos x="0" y="0"/>
                      <wp:positionH relativeFrom="column">
                        <wp:posOffset>238125</wp:posOffset>
                      </wp:positionH>
                      <wp:positionV relativeFrom="paragraph">
                        <wp:posOffset>304800</wp:posOffset>
                      </wp:positionV>
                      <wp:extent cx="866775" cy="198120"/>
                      <wp:effectExtent l="0" t="0" r="1905" b="0"/>
                      <wp:wrapNone/>
                      <wp:docPr id="1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upright="1"/>
                          </wps:wsp>
                        </a:graphicData>
                      </a:graphic>
                    </wp:anchor>
                  </w:drawing>
                </mc:Choice>
                <mc:Fallback>
                  <w:pict>
                    <v:rect id="BAH" o:spid="_x0000_s1026" o:spt="1" style="position:absolute;left:0pt;margin-left:18.75pt;margin-top:24pt;height:15.6pt;width:68.25pt;z-index:-251649024;mso-width-relative:page;mso-height-relative:page;" fillcolor="#FFFFFF" filled="t" stroked="f" coordsize="21600,21600" o:gfxdata="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I+EntcAAAAI&#10;AQAADwAAAAAAAAABACAAAAAiAAAAZHJzL2Rvd25yZXYueG1sUEsBAhQAFAAAAAgAh07iQIuQuVur&#10;AQAAZQMAAA4AAAAAAAAAAQAgAAAAJgEAAGRycy9lMm9Eb2MueG1sUEsFBgAAAAAGAAYAWQEAAEMF&#10;AAAAAA==&#10;">
                      <v:fill on="t" focussize="0,0"/>
                      <v:stroke on="f"/>
                      <v:imagedata o:title=""/>
                      <o:lock v:ext="edit" aspectratio="f"/>
                      <v:textbox>
                        <w:txbxContent>
                          <w:p/>
                        </w:txbxContent>
                      </v:textbox>
                    </v:rect>
                  </w:pict>
                </mc:Fallback>
              </mc:AlternateContent>
            </w:r>
            <w:r>
              <w:rPr>
                <w:rFonts w:hint="eastAsia"/>
                <w:lang w:val="en-US" w:eastAsia="zh-CN"/>
              </w:rPr>
              <w:t>77</w:t>
            </w:r>
            <w:r>
              <mc:AlternateContent>
                <mc:Choice Requires="wps">
                  <w:drawing>
                    <wp:anchor distT="0" distB="0" distL="114300" distR="114300" simplePos="0" relativeHeight="251663360" behindDoc="1" locked="0" layoutInCell="1" allowOverlap="1">
                      <wp:simplePos x="0" y="0"/>
                      <wp:positionH relativeFrom="column">
                        <wp:posOffset>85725</wp:posOffset>
                      </wp:positionH>
                      <wp:positionV relativeFrom="paragraph">
                        <wp:posOffset>152400</wp:posOffset>
                      </wp:positionV>
                      <wp:extent cx="866775" cy="198120"/>
                      <wp:effectExtent l="0" t="0" r="1905" b="0"/>
                      <wp:wrapNone/>
                      <wp:docPr id="1" name="矩形 1"/>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6.75pt;margin-top:12pt;height:15.6pt;width:68.25pt;z-index:-251653120;mso-width-relative:page;mso-height-relative:page;" fillcolor="#FFFFFF" filled="t" stroked="f" coordsize="21600,21600" o:gfxdata="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iS01zVAAAACAEAAA8AAAAAAAAAAQAgAAAAIgAAAGRycy9kb3ducmV2LnhtbFBLAQIUABQAAAAI&#10;AIdO4kCiHXbgtwEAAGkDAAAOAAAAAAAAAAEAIAAAACQBAABkcnMvZTJvRG9jLnhtbFBLBQYAAAAA&#10;BgAGAFkBAABN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2" name="矩形 2"/>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iuL+zVAAAABwEAAA8AAAAAAAAAAQAgAAAAIgAAAGRycy9kb3ducmV2LnhtbFBLAQIUABQAAAAI&#10;AIdO4kDP6bJptwEAAGkDAAAOAAAAAAAAAAEAIAAAACQBAABkcnMvZTJvRG9jLnhtbFBLBQYAAAAA&#10;BgAGAFkBAABNBQAAAAA=&#10;">
                      <v:fill on="t" focussize="0,0"/>
                      <v:stroke on="f"/>
                      <v:imagedata o:title=""/>
                      <o:lock v:ext="edit" aspectratio="f"/>
                      <v:textbox>
                        <w:txbxContent>
                          <w:p/>
                        </w:txbxContent>
                      </v:textbox>
                    </v:rect>
                  </w:pict>
                </mc:Fallback>
              </mc:AlternateContent>
            </w:r>
          </w:p>
        </w:tc>
      </w:tr>
    </w:tbl>
    <w:p>
      <w:pPr>
        <w:pStyle w:val="23"/>
      </w:pPr>
      <w:r>
        <w:t>DB</w:t>
      </w:r>
      <w:r>
        <w:rPr>
          <w:rFonts w:hint="eastAsia"/>
        </w:rPr>
        <w:t>21</w:t>
      </w:r>
    </w:p>
    <w:p>
      <w:pPr>
        <w:pStyle w:val="25"/>
      </w:pPr>
      <w:r>
        <w:rPr>
          <w:rFonts w:hint="eastAsia"/>
        </w:rPr>
        <w:t>辽宁省地方标准</w:t>
      </w:r>
    </w:p>
    <w:p>
      <w:pPr>
        <w:pStyle w:val="26"/>
        <w:rPr>
          <w:rFonts w:hint="eastAsia" w:hAnsi="黑体" w:cs="黑体"/>
        </w:rPr>
      </w:pPr>
      <w:r>
        <w:rPr>
          <w:rFonts w:hint="eastAsia" w:hAnsi="黑体" w:cs="黑体"/>
        </w:rPr>
        <w:t>DB21/T XXXX—XXXX</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27"/>
            </w:pPr>
          </w:p>
        </w:tc>
      </w:tr>
    </w:tbl>
    <w:p>
      <w:pPr>
        <w:pStyle w:val="26"/>
      </w:pPr>
    </w:p>
    <w:p>
      <w:pPr>
        <w:pStyle w:val="26"/>
      </w:pPr>
    </w:p>
    <w:p>
      <w:pPr>
        <w:pStyle w:val="28"/>
        <w:framePr w:wrap="around" w:x="1390" w:y="6437"/>
        <w:rPr>
          <w:rFonts w:hint="eastAsia"/>
          <w:szCs w:val="22"/>
        </w:rPr>
      </w:pPr>
      <w:r>
        <w:rPr>
          <w:rFonts w:hint="eastAsia"/>
          <w:szCs w:val="22"/>
        </w:rPr>
        <w:t>两化融合IT治理绩效评价实施指南</w:t>
      </w:r>
    </w:p>
    <w:p>
      <w:pPr>
        <w:pStyle w:val="29"/>
        <w:framePr w:wrap="around" w:x="1390" w:y="6437"/>
      </w:pPr>
    </w:p>
    <w:p>
      <w:pPr>
        <w:pStyle w:val="30"/>
        <w:framePr w:wrap="around" w:x="1390" w:y="6437"/>
      </w:pPr>
      <w:r>
        <w:rPr>
          <w:rFonts w:hint="eastAsia"/>
        </w:rPr>
        <w:t>（</w:t>
      </w:r>
      <w:r>
        <w:rPr>
          <w:rFonts w:hint="eastAsia"/>
          <w:lang w:val="en-US" w:eastAsia="zh-CN"/>
        </w:rPr>
        <w:t>征求意见</w:t>
      </w:r>
      <w:r>
        <w:rPr>
          <w:rFonts w:hint="eastAsia"/>
        </w:rPr>
        <w:t>稿）</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31"/>
              <w:framePr w:wrap="around" w:x="1390" w:y="6437"/>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4281805</wp:posOffset>
                      </wp:positionV>
                      <wp:extent cx="1905000" cy="254000"/>
                      <wp:effectExtent l="0" t="0" r="0" b="5080"/>
                      <wp:wrapNone/>
                      <wp:docPr id="3" name="矩形 3"/>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73.3pt;margin-top:337.15pt;height:20pt;width:150pt;z-index:-25165516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39f34NcAAAALAQAADwAAAAAAAAABACAAAAAiAAAAZHJzL2Rvd25yZXYueG1sUEsBAhQAFAAAAAgA&#10;h07iQOaS93C0AQAAagMAAA4AAAAAAAAAAQAgAAAAJgEAAGRycy9lMm9Eb2MueG1sUEsFBgAAAAAG&#10;AAYAWQEAAEwFAAAAAA==&#10;">
                      <v:fill on="t" focussize="0,0"/>
                      <v:stroke on="f"/>
                      <v:imagedata o:title=""/>
                      <o:lock v:ext="edit" aspectratio="f"/>
                      <v:textbox>
                        <w:txbxContent>
                          <w:p/>
                        </w:txbxContent>
                      </v:textbox>
                      <w10:anchorlock/>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32"/>
              <w:framePr w:wrap="around" w:x="1390" w:y="6437"/>
            </w:pPr>
          </w:p>
        </w:tc>
      </w:tr>
    </w:tbl>
    <w:p>
      <w:pPr>
        <w:pStyle w:val="33"/>
        <w:framePr w:vAnchor="page" w:hAnchor="page" w:x="1549" w:y="14053"/>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mc:AlternateContent>
          <mc:Choice Requires="wps">
            <w:drawing>
              <wp:anchor distT="0" distB="0" distL="114300" distR="114300" simplePos="0" relativeHeight="251664384" behindDoc="0" locked="1" layoutInCell="1" allowOverlap="1">
                <wp:simplePos x="0" y="0"/>
                <wp:positionH relativeFrom="column">
                  <wp:posOffset>3810</wp:posOffset>
                </wp:positionH>
                <wp:positionV relativeFrom="page">
                  <wp:posOffset>-3421380</wp:posOffset>
                </wp:positionV>
                <wp:extent cx="612013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pt;margin-top:-269.4pt;height:0pt;width:481.9pt;mso-position-vertical-relative:page;z-index:251664384;mso-width-relative:page;mso-height-relative:page;" filled="f" stroked="t" coordsize="21600,21600" o:gfxdata="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1zUnh1gAAAAoBAAAPAAAAAAAAAAEAIAAAACIAAABkcnMvZG93bnJldi54bWxQSwECFAAU&#10;AAAACACHTuJAgYpE8vMBAADkAwAADgAAAAAAAAABACAAAAAlAQAAZHJzL2Uyb0RvYy54bWxQSwUG&#10;AAAAAAYABgBZAQAAigUAAAAA&#10;">
                <v:fill on="f" focussize="0,0"/>
                <v:stroke color="#000000" joinstyle="round"/>
                <v:imagedata o:title=""/>
                <o:lock v:ext="edit" aspectratio="f"/>
                <w10:anchorlock/>
              </v:line>
            </w:pict>
          </mc:Fallback>
        </mc:AlternateContent>
      </w:r>
    </w:p>
    <w:p>
      <w:pPr>
        <w:pStyle w:val="35"/>
        <w:framePr w:vAnchor="page" w:hAnchor="page" w:x="7006" w:y="13981"/>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pPr>
        <w:pStyle w:val="37"/>
        <w:rPr>
          <w:rFonts w:hAnsi="黑体" w:cs="黑体"/>
        </w:rPr>
      </w:pPr>
      <w:bookmarkStart w:id="1" w:name="fm"/>
      <w:r>
        <w:rPr>
          <w:rFonts w:hint="eastAsia" w:hAnsi="黑体" w:cs="黑体"/>
          <w:w w:val="100"/>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10160" b="0"/>
                <wp:wrapNone/>
                <wp:docPr id="7" name="矩形 7"/>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42.55pt;margin-top:-310.45pt;height:24pt;width:100pt;z-index:-25165619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5te7W2QAAAA0BAAAPAAAAAAAAAAEAIAAAACIAAABkcnMvZG93bnJldi54bWxQSwECFAAUAAAA&#10;CACHTuJAuugEiLQBAABqAwAADgAAAAAAAAABACAAAAAoAQAAZHJzL2Uyb0RvYy54bWxQSwUGAAAA&#10;AAYABgBZAQAATgUAAAAA&#10;">
                <v:fill on="t" focussize="0,0"/>
                <v:stroke on="f"/>
                <v:imagedata o:title=""/>
                <o:lock v:ext="edit" aspectratio="f"/>
                <v:textbox>
                  <w:txbxContent>
                    <w:p/>
                  </w:txbxContent>
                </v:textbox>
              </v:rect>
            </w:pict>
          </mc:Fallback>
        </mc:AlternateContent>
      </w:r>
      <w:r>
        <w:rPr>
          <w:rFonts w:hint="eastAsia" w:hAnsi="黑体" w:cs="黑体"/>
          <w:w w:val="100"/>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8" name="矩形 8"/>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yYoR2gAAAA8BAAAPAAAAAAAAAAEAIAAAACIAAABkcnMvZG93bnJldi54bWxQSwECFAAUAAAA&#10;CACHTuJA/tqC/rMBAABqAwAADgAAAAAAAAABACAAAAApAQAAZHJzL2Uyb0RvYy54bWxQSwUGAAAA&#10;AAYABgBZAQAATgUAAAAA&#10;">
                <v:fill on="t" focussize="0,0"/>
                <v:stroke on="f"/>
                <v:imagedata o:title=""/>
                <o:lock v:ext="edit" aspectratio="f"/>
                <v:textbox>
                  <w:txbxContent>
                    <w:p/>
                  </w:txbxContent>
                </v:textbox>
              </v:rect>
            </w:pict>
          </mc:Fallback>
        </mc:AlternateContent>
      </w:r>
      <w:bookmarkEnd w:id="1"/>
      <w:r>
        <w:rPr>
          <w:rFonts w:hint="eastAsia" w:hAnsi="黑体" w:cs="黑体"/>
          <w:w w:val="100"/>
        </w:rPr>
        <w:t>辽宁省</w:t>
      </w:r>
      <w:r>
        <w:rPr>
          <w:rFonts w:hint="eastAsia" w:hAnsi="黑体" w:cs="黑体"/>
          <w:w w:val="100"/>
          <w:szCs w:val="22"/>
        </w:rPr>
        <w:t>市场监督管理局   发 布</w:t>
      </w:r>
    </w:p>
    <w:p>
      <w:pPr>
        <w:pStyle w:val="15"/>
        <w:sectPr>
          <w:headerReference r:id="rId4" w:type="first"/>
          <w:footerReference r:id="rId7" w:type="first"/>
          <w:footerReference r:id="rId5" w:type="default"/>
          <w:headerReference r:id="rId3" w:type="even"/>
          <w:footerReference r:id="rId6" w:type="even"/>
          <w:pgSz w:w="11906" w:h="16838"/>
          <w:pgMar w:top="567" w:right="1134" w:bottom="1134" w:left="1417" w:header="0" w:footer="0" w:gutter="0"/>
          <w:pgNumType w:fmt="upperRoman" w:start="1"/>
          <w:cols w:space="720" w:num="1"/>
          <w:docGrid w:type="lines" w:linePitch="312" w:charSpace="0"/>
        </w:sectPr>
      </w:pPr>
      <w:r>
        <w:rPr>
          <w:rFonts w:hint="eastAsia" w:ascii="黑体" w:hAnsi="黑体" w:eastAsia="黑体" w:cs="黑体"/>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2333625</wp:posOffset>
                </wp:positionV>
                <wp:extent cx="6062345" cy="6350"/>
                <wp:effectExtent l="0" t="4445" r="3175" b="12065"/>
                <wp:wrapNone/>
                <wp:docPr id="4" name="直接连接符 4"/>
                <wp:cNvGraphicFramePr/>
                <a:graphic xmlns:a="http://schemas.openxmlformats.org/drawingml/2006/main">
                  <a:graphicData uri="http://schemas.microsoft.com/office/word/2010/wordprocessingShape">
                    <wps:wsp>
                      <wps:cNvCnPr/>
                      <wps:spPr>
                        <a:xfrm flipV="1">
                          <a:off x="0" y="0"/>
                          <a:ext cx="6062345"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05pt;margin-top:183.75pt;height:0.5pt;width:477.35pt;z-index:251665408;mso-width-relative:page;mso-height-relative:page;" filled="f" stroked="t" coordsize="21600,21600" o:gfxdata="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6I2+V2AAAAAkBAAAPAAAAAAAAAAEAIAAAACIAAABkcnMvZG93&#10;bnJldi54bWxQSwECFAAUAAAACACHTuJAkM6fugACAADxAwAADgAAAAAAAAABACAAAAAnAQAAZHJz&#10;L2Uyb0RvYy54bWxQSwUGAAAAAAYABgBZAQAAmQUAAAAA&#10;">
                <v:fill on="f" focussize="0,0"/>
                <v:stroke color="#000000" joinstyle="round"/>
                <v:imagedata o:title=""/>
                <o:lock v:ext="edit" aspectratio="f"/>
              </v:line>
            </w:pict>
          </mc:Fallback>
        </mc:AlternateContent>
      </w:r>
      <w:r>
        <w:rPr>
          <w:rFonts w:hint="eastAsia" w:ascii="黑体" w:hAnsi="黑体" w:eastAsia="黑体" w:cs="黑体"/>
        </w:rPr>
        <mc:AlternateContent>
          <mc:Choice Requires="wps">
            <w:drawing>
              <wp:anchor distT="0" distB="0" distL="114300" distR="114300" simplePos="0" relativeHeight="251666432" behindDoc="0" locked="0" layoutInCell="1" allowOverlap="1">
                <wp:simplePos x="0" y="0"/>
                <wp:positionH relativeFrom="column">
                  <wp:posOffset>34925</wp:posOffset>
                </wp:positionH>
                <wp:positionV relativeFrom="paragraph">
                  <wp:posOffset>8851900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5pt;margin-top:697pt;height:0pt;width:481.9pt;z-index:251666432;mso-width-relative:page;mso-height-relative:page;" filled="f" stroked="t" coordsize="21600,21600" o:gfxdata="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mbKldYAAAALAQAADwAAAAAAAAABACAAAAAiAAAAZHJzL2Rvd25yZXYueG1sUEsBAhQA&#10;FAAAAAgAh07iQI50ZUH0AQAA5AMAAA4AAAAAAAAAAQAgAAAAJQEAAGRycy9lMm9Eb2MueG1sUEsF&#10;BgAAAAAGAAYAWQEAAIsFAAAAAA==&#10;">
                <v:fill on="f" focussize="0,0"/>
                <v:stroke color="#000000" joinstyle="round"/>
                <v:imagedata o:title=""/>
                <o:lock v:ext="edit" aspectratio="f"/>
              </v:line>
            </w:pict>
          </mc:Fallback>
        </mc:AlternateContent>
      </w:r>
    </w:p>
    <w:p>
      <w:pPr>
        <w:jc w:val="center"/>
        <w:rPr>
          <w:rFonts w:hint="eastAsia" w:ascii="黑体" w:hAnsi="黑体" w:eastAsia="黑体" w:cs="黑体"/>
          <w:sz w:val="32"/>
          <w:szCs w:val="32"/>
          <w:highlight w:val="none"/>
          <w:lang w:eastAsia="zh-CN"/>
        </w:rPr>
      </w:pPr>
      <w:bookmarkStart w:id="2" w:name="_Toc14850"/>
      <w:bookmarkStart w:id="3" w:name="_Toc13607"/>
      <w:r>
        <w:rPr>
          <w:rFonts w:hint="eastAsia" w:ascii="黑体" w:hAnsi="黑体" w:eastAsia="黑体" w:cs="黑体"/>
          <w:sz w:val="32"/>
          <w:szCs w:val="32"/>
          <w:highlight w:val="none"/>
        </w:rPr>
        <w:t>目  次</w:t>
      </w:r>
      <w:bookmarkEnd w:id="2"/>
      <w:bookmarkEnd w:id="3"/>
    </w:p>
    <w:p>
      <w:pPr>
        <w:pStyle w:val="6"/>
        <w:tabs>
          <w:tab w:val="right" w:leader="dot" w:pos="9355"/>
          <w:tab w:val="clear" w:pos="9242"/>
        </w:tabs>
        <w:rPr>
          <w:rFonts w:hint="eastAsia" w:ascii="宋体" w:hAnsi="宋体" w:eastAsia="宋体" w:cs="宋体"/>
        </w:rPr>
      </w:pPr>
      <w:bookmarkStart w:id="4" w:name="_Toc18819"/>
      <w:bookmarkStart w:id="5" w:name="_Toc13303"/>
      <w:bookmarkStart w:id="6" w:name="_Toc24066"/>
      <w:bookmarkStart w:id="7" w:name="_Toc19906"/>
      <w:bookmarkStart w:id="8" w:name="_Toc1316"/>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_Toc960 </w:instrText>
      </w:r>
      <w:r>
        <w:rPr>
          <w:rFonts w:hint="eastAsia" w:ascii="宋体" w:hAnsi="宋体" w:eastAsia="宋体" w:cs="宋体"/>
        </w:rPr>
        <w:fldChar w:fldCharType="separate"/>
      </w:r>
      <w:r>
        <w:rPr>
          <w:rFonts w:hint="eastAsia" w:ascii="宋体" w:hAnsi="宋体" w:eastAsia="宋体" w:cs="宋体"/>
          <w:szCs w:val="32"/>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_Toc960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9355"/>
          <w:tab w:val="clear" w:pos="924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_Toc29454 </w:instrText>
      </w:r>
      <w:r>
        <w:rPr>
          <w:rFonts w:hint="eastAsia" w:ascii="宋体" w:hAnsi="宋体" w:eastAsia="宋体" w:cs="宋体"/>
        </w:rPr>
        <w:fldChar w:fldCharType="separate"/>
      </w:r>
      <w:r>
        <w:rPr>
          <w:rFonts w:hint="eastAsia" w:ascii="宋体" w:hAnsi="宋体" w:eastAsia="宋体" w:cs="宋体"/>
          <w:szCs w:val="32"/>
          <w:lang w:val="en-US" w:eastAsia="zh-CN"/>
        </w:rPr>
        <w:t>引</w:t>
      </w:r>
      <w:r>
        <w:rPr>
          <w:rFonts w:hint="eastAsia" w:ascii="宋体" w:hAnsi="宋体" w:eastAsia="宋体" w:cs="宋体"/>
          <w:szCs w:val="32"/>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_Toc29454 \h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r>
        <w:rPr>
          <w:rFonts w:hint="eastAsia" w:ascii="宋体" w:hAnsi="宋体" w:eastAsia="宋体" w:cs="宋体"/>
        </w:rPr>
        <w:fldChar w:fldCharType="end"/>
      </w:r>
    </w:p>
    <w:p>
      <w:pPr>
        <w:pStyle w:val="5"/>
        <w:tabs>
          <w:tab w:val="right" w:leader="dot" w:pos="9355"/>
          <w:tab w:val="clear" w:pos="924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_Toc28728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i w:val="0"/>
          <w:szCs w:val="21"/>
          <w:lang w:val="en-US" w:eastAsia="zh-CN"/>
        </w:rPr>
        <w:t xml:space="preserve"> </w:t>
      </w:r>
      <w:r>
        <w:rPr>
          <w:rFonts w:hint="eastAsia" w:ascii="宋体" w:hAnsi="宋体" w:eastAsia="宋体" w:cs="宋体"/>
        </w:rPr>
        <w:t>范围</w:t>
      </w:r>
      <w:r>
        <w:rPr>
          <w:rFonts w:hint="eastAsia" w:ascii="宋体" w:hAnsi="宋体" w:eastAsia="宋体" w:cs="宋体"/>
        </w:rPr>
        <w:tab/>
      </w:r>
      <w:r>
        <w:rPr>
          <w:rFonts w:hint="eastAsia" w:hAnsi="宋体" w:cs="宋体"/>
          <w:lang w:val="en-US" w:eastAsia="zh-CN"/>
        </w:rPr>
        <w:t>1</w:t>
      </w:r>
      <w:r>
        <w:rPr>
          <w:rFonts w:hint="eastAsia" w:ascii="宋体" w:hAnsi="宋体" w:eastAsia="宋体" w:cs="宋体"/>
        </w:rPr>
        <w:fldChar w:fldCharType="end"/>
      </w:r>
    </w:p>
    <w:p>
      <w:pPr>
        <w:pStyle w:val="5"/>
        <w:tabs>
          <w:tab w:val="right" w:leader="dot" w:pos="9355"/>
          <w:tab w:val="clear" w:pos="924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_Toc27822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i w:val="0"/>
          <w:szCs w:val="21"/>
          <w:lang w:val="en-US" w:eastAsia="zh-CN"/>
        </w:rPr>
        <w:t xml:space="preserve"> </w:t>
      </w:r>
      <w:r>
        <w:rPr>
          <w:rFonts w:hint="eastAsia" w:ascii="宋体" w:hAnsi="宋体" w:eastAsia="宋体" w:cs="宋体"/>
        </w:rPr>
        <w:t>规范性引用文件</w:t>
      </w:r>
      <w:r>
        <w:rPr>
          <w:rFonts w:hint="eastAsia" w:ascii="宋体" w:hAnsi="宋体" w:eastAsia="宋体" w:cs="宋体"/>
        </w:rPr>
        <w:tab/>
      </w:r>
      <w:r>
        <w:rPr>
          <w:rFonts w:hint="eastAsia" w:hAnsi="宋体" w:cs="宋体"/>
          <w:lang w:val="en-US" w:eastAsia="zh-CN"/>
        </w:rPr>
        <w:t>1</w:t>
      </w:r>
      <w:r>
        <w:rPr>
          <w:rFonts w:hint="eastAsia" w:ascii="宋体" w:hAnsi="宋体" w:eastAsia="宋体" w:cs="宋体"/>
        </w:rPr>
        <w:fldChar w:fldCharType="end"/>
      </w:r>
    </w:p>
    <w:p>
      <w:pPr>
        <w:pStyle w:val="5"/>
        <w:tabs>
          <w:tab w:val="right" w:leader="dot" w:pos="9355"/>
          <w:tab w:val="clear" w:pos="924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_Toc23516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ascii="宋体" w:hAnsi="宋体" w:eastAsia="宋体" w:cs="宋体"/>
          <w:i w:val="0"/>
          <w:szCs w:val="21"/>
          <w:lang w:val="en-US" w:eastAsia="zh-CN"/>
        </w:rPr>
        <w:t xml:space="preserve"> </w:t>
      </w:r>
      <w:r>
        <w:rPr>
          <w:rFonts w:hint="eastAsia" w:ascii="宋体" w:hAnsi="宋体" w:eastAsia="宋体" w:cs="宋体"/>
        </w:rPr>
        <w:t>术语和定义</w:t>
      </w:r>
      <w:r>
        <w:rPr>
          <w:rFonts w:hint="eastAsia" w:ascii="宋体" w:hAnsi="宋体" w:eastAsia="宋体" w:cs="宋体"/>
        </w:rPr>
        <w:tab/>
      </w:r>
      <w:r>
        <w:rPr>
          <w:rFonts w:hint="eastAsia" w:hAnsi="宋体" w:cs="宋体"/>
          <w:lang w:val="en-US" w:eastAsia="zh-CN"/>
        </w:rPr>
        <w:t>1</w:t>
      </w:r>
      <w:r>
        <w:rPr>
          <w:rFonts w:hint="eastAsia" w:ascii="宋体" w:hAnsi="宋体" w:eastAsia="宋体" w:cs="宋体"/>
        </w:rPr>
        <w:fldChar w:fldCharType="end"/>
      </w:r>
    </w:p>
    <w:p>
      <w:pPr>
        <w:pStyle w:val="5"/>
        <w:tabs>
          <w:tab w:val="right" w:leader="dot" w:pos="9355"/>
          <w:tab w:val="clear" w:pos="924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_Toc10636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i w:val="0"/>
          <w:szCs w:val="21"/>
          <w:lang w:val="en-US" w:eastAsia="zh-CN"/>
        </w:rPr>
        <w:t xml:space="preserve"> </w:t>
      </w:r>
      <w:r>
        <w:rPr>
          <w:rFonts w:hint="eastAsia" w:ascii="宋体" w:hAnsi="宋体" w:eastAsia="宋体" w:cs="宋体"/>
          <w:lang w:val="en-US" w:eastAsia="zh-CN"/>
        </w:rPr>
        <w:t>IT治理实施框架</w:t>
      </w:r>
      <w:r>
        <w:rPr>
          <w:rFonts w:hint="eastAsia" w:ascii="宋体" w:hAnsi="宋体" w:eastAsia="宋体" w:cs="宋体"/>
        </w:rPr>
        <w:tab/>
      </w:r>
      <w:r>
        <w:rPr>
          <w:rFonts w:hint="eastAsia" w:hAnsi="宋体" w:cs="宋体"/>
          <w:lang w:val="en-US" w:eastAsia="zh-CN"/>
        </w:rPr>
        <w:t>2</w:t>
      </w:r>
      <w:r>
        <w:rPr>
          <w:rFonts w:hint="eastAsia" w:ascii="宋体" w:hAnsi="宋体" w:eastAsia="宋体" w:cs="宋体"/>
        </w:rPr>
        <w:fldChar w:fldCharType="end"/>
      </w:r>
    </w:p>
    <w:p>
      <w:pPr>
        <w:pStyle w:val="5"/>
        <w:tabs>
          <w:tab w:val="right" w:leader="dot" w:pos="9355"/>
          <w:tab w:val="clear" w:pos="924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_Toc8111 </w:instrText>
      </w:r>
      <w:r>
        <w:rPr>
          <w:rFonts w:hint="eastAsia" w:ascii="宋体" w:hAnsi="宋体" w:eastAsia="宋体" w:cs="宋体"/>
        </w:rPr>
        <w:fldChar w:fldCharType="separate"/>
      </w:r>
      <w:r>
        <w:rPr>
          <w:rFonts w:hint="eastAsia" w:ascii="宋体" w:hAnsi="宋体" w:eastAsia="宋体" w:cs="宋体"/>
          <w:i w:val="0"/>
          <w:szCs w:val="21"/>
        </w:rPr>
        <w:t xml:space="preserve">5 </w:t>
      </w:r>
      <w:r>
        <w:rPr>
          <w:rFonts w:hint="eastAsia" w:ascii="宋体" w:hAnsi="宋体" w:eastAsia="宋体" w:cs="宋体"/>
          <w:i w:val="0"/>
          <w:szCs w:val="21"/>
          <w:lang w:val="en-US" w:eastAsia="zh-CN"/>
        </w:rPr>
        <w:t xml:space="preserve"> </w:t>
      </w:r>
      <w:r>
        <w:rPr>
          <w:rFonts w:hint="eastAsia" w:ascii="宋体" w:hAnsi="宋体" w:eastAsia="宋体" w:cs="宋体"/>
          <w:lang w:val="en-US" w:eastAsia="zh-CN"/>
        </w:rPr>
        <w:t>评价原则</w:t>
      </w:r>
      <w:r>
        <w:rPr>
          <w:rFonts w:hint="eastAsia" w:ascii="宋体" w:hAnsi="宋体" w:eastAsia="宋体" w:cs="宋体"/>
        </w:rPr>
        <w:tab/>
      </w:r>
      <w:r>
        <w:rPr>
          <w:rFonts w:hint="eastAsia" w:hAnsi="宋体" w:cs="宋体"/>
          <w:lang w:val="en-US" w:eastAsia="zh-CN"/>
        </w:rPr>
        <w:t>2</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_Toc21694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rPr>
        <w:t xml:space="preserve">5.1 </w:t>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 </w:t>
      </w:r>
      <w:r>
        <w:rPr>
          <w:rFonts w:hint="eastAsia" w:ascii="宋体" w:hAnsi="宋体" w:eastAsia="宋体" w:cs="宋体"/>
          <w:lang w:val="en-US" w:eastAsia="zh-CN"/>
        </w:rPr>
        <w:t>科学性</w:t>
      </w:r>
      <w:r>
        <w:rPr>
          <w:rFonts w:hint="eastAsia" w:ascii="宋体" w:hAnsi="宋体" w:eastAsia="宋体" w:cs="宋体"/>
        </w:rPr>
        <w:tab/>
      </w:r>
      <w:r>
        <w:rPr>
          <w:rFonts w:hint="eastAsia" w:hAnsi="宋体" w:cs="宋体"/>
          <w:lang w:val="en-US" w:eastAsia="zh-CN"/>
        </w:rPr>
        <w:t>2</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_Toc12891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rPr>
        <w:t xml:space="preserve">5.2 </w:t>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 </w:t>
      </w:r>
      <w:r>
        <w:rPr>
          <w:rFonts w:hint="eastAsia" w:ascii="宋体" w:hAnsi="宋体" w:eastAsia="宋体" w:cs="宋体"/>
          <w:lang w:val="en-US" w:eastAsia="zh-CN"/>
        </w:rPr>
        <w:t>实效性</w:t>
      </w:r>
      <w:r>
        <w:rPr>
          <w:rFonts w:hint="eastAsia" w:ascii="宋体" w:hAnsi="宋体" w:eastAsia="宋体" w:cs="宋体"/>
        </w:rPr>
        <w:tab/>
      </w:r>
      <w:r>
        <w:rPr>
          <w:rFonts w:hint="eastAsia" w:hAnsi="宋体" w:cs="宋体"/>
          <w:lang w:val="en-US" w:eastAsia="zh-CN"/>
        </w:rPr>
        <w:t>2</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_Toc6550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rPr>
        <w:t xml:space="preserve">5.3 </w:t>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 </w:t>
      </w:r>
      <w:r>
        <w:rPr>
          <w:rFonts w:hint="eastAsia" w:ascii="宋体" w:hAnsi="宋体" w:eastAsia="宋体" w:cs="宋体"/>
          <w:lang w:val="en-US" w:eastAsia="zh-CN"/>
        </w:rPr>
        <w:t>可操作性</w:t>
      </w:r>
      <w:r>
        <w:rPr>
          <w:rFonts w:hint="eastAsia" w:ascii="宋体" w:hAnsi="宋体" w:eastAsia="宋体" w:cs="宋体"/>
        </w:rPr>
        <w:tab/>
      </w:r>
      <w:r>
        <w:rPr>
          <w:rFonts w:hint="eastAsia" w:hAnsi="宋体" w:cs="宋体"/>
          <w:lang w:val="en-US" w:eastAsia="zh-CN"/>
        </w:rPr>
        <w:t>2</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_Toc16486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rPr>
        <w:t xml:space="preserve">5.4 </w:t>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 </w:t>
      </w:r>
      <w:r>
        <w:rPr>
          <w:rFonts w:hint="eastAsia" w:ascii="宋体" w:hAnsi="宋体" w:eastAsia="宋体" w:cs="宋体"/>
          <w:lang w:val="en-US" w:eastAsia="zh-CN"/>
        </w:rPr>
        <w:t>可扩展性</w:t>
      </w:r>
      <w:r>
        <w:rPr>
          <w:rFonts w:hint="eastAsia" w:ascii="宋体" w:hAnsi="宋体" w:eastAsia="宋体" w:cs="宋体"/>
        </w:rPr>
        <w:tab/>
      </w:r>
      <w:r>
        <w:rPr>
          <w:rFonts w:hint="eastAsia" w:hAnsi="宋体" w:cs="宋体"/>
          <w:lang w:val="en-US" w:eastAsia="zh-CN"/>
        </w:rPr>
        <w:t>2</w:t>
      </w:r>
      <w:r>
        <w:rPr>
          <w:rFonts w:hint="eastAsia" w:ascii="宋体" w:hAnsi="宋体" w:eastAsia="宋体" w:cs="宋体"/>
        </w:rPr>
        <w:fldChar w:fldCharType="end"/>
      </w:r>
    </w:p>
    <w:p>
      <w:pPr>
        <w:pStyle w:val="5"/>
        <w:tabs>
          <w:tab w:val="right" w:leader="dot" w:pos="9355"/>
          <w:tab w:val="clear" w:pos="924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_Toc24673 </w:instrText>
      </w:r>
      <w:r>
        <w:rPr>
          <w:rFonts w:hint="eastAsia" w:ascii="宋体" w:hAnsi="宋体" w:eastAsia="宋体" w:cs="宋体"/>
        </w:rPr>
        <w:fldChar w:fldCharType="separate"/>
      </w:r>
      <w:r>
        <w:rPr>
          <w:rFonts w:hint="eastAsia" w:ascii="宋体" w:hAnsi="宋体" w:eastAsia="宋体" w:cs="宋体"/>
          <w:i w:val="0"/>
          <w:szCs w:val="21"/>
        </w:rPr>
        <w:t xml:space="preserve">6 </w:t>
      </w:r>
      <w:r>
        <w:rPr>
          <w:rFonts w:hint="eastAsia" w:ascii="宋体" w:hAnsi="宋体" w:eastAsia="宋体" w:cs="宋体"/>
          <w:i w:val="0"/>
          <w:szCs w:val="21"/>
          <w:lang w:val="en-US" w:eastAsia="zh-CN"/>
        </w:rPr>
        <w:t xml:space="preserve"> </w:t>
      </w:r>
      <w:r>
        <w:rPr>
          <w:rFonts w:hint="eastAsia" w:ascii="宋体" w:hAnsi="宋体" w:eastAsia="宋体" w:cs="宋体"/>
          <w:highlight w:val="none"/>
          <w:lang w:val="en-US" w:eastAsia="zh-CN"/>
        </w:rPr>
        <w:t>IT治理绩效评价框架</w:t>
      </w:r>
      <w:r>
        <w:rPr>
          <w:rFonts w:hint="eastAsia" w:ascii="宋体" w:hAnsi="宋体" w:eastAsia="宋体" w:cs="宋体"/>
        </w:rPr>
        <w:tab/>
      </w:r>
      <w:r>
        <w:rPr>
          <w:rFonts w:hint="eastAsia" w:hAnsi="宋体" w:cs="宋体"/>
          <w:lang w:val="en-US" w:eastAsia="zh-CN"/>
        </w:rPr>
        <w:t>2</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_Toc1373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rPr>
        <w:t xml:space="preserve">6.1 </w:t>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 </w:t>
      </w:r>
      <w:r>
        <w:rPr>
          <w:rFonts w:hint="eastAsia" w:ascii="宋体" w:hAnsi="宋体" w:eastAsia="宋体" w:cs="宋体"/>
          <w:lang w:val="en-US" w:eastAsia="zh-CN"/>
        </w:rPr>
        <w:t>IT治理模型</w:t>
      </w:r>
      <w:r>
        <w:rPr>
          <w:rFonts w:hint="eastAsia" w:ascii="宋体" w:hAnsi="宋体" w:eastAsia="宋体" w:cs="宋体"/>
        </w:rPr>
        <w:tab/>
      </w:r>
      <w:r>
        <w:rPr>
          <w:rFonts w:hint="eastAsia" w:hAnsi="宋体" w:cs="宋体"/>
          <w:lang w:val="en-US" w:eastAsia="zh-CN"/>
        </w:rPr>
        <w:t>2</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rPr>
        <w:t>6.2</w:t>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 </w:t>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rPr>
        <w:t xml:space="preserve"> </w:t>
      </w:r>
      <w:r>
        <w:rPr>
          <w:rFonts w:hint="eastAsia" w:ascii="宋体" w:hAnsi="宋体" w:eastAsia="宋体" w:cs="宋体"/>
          <w:lang w:val="en-US" w:eastAsia="zh-CN"/>
        </w:rPr>
        <w:t>治理要素</w:t>
      </w:r>
      <w:r>
        <w:rPr>
          <w:rFonts w:hint="eastAsia" w:ascii="宋体" w:hAnsi="宋体" w:eastAsia="宋体" w:cs="宋体"/>
        </w:rPr>
        <w:tab/>
      </w:r>
      <w:r>
        <w:rPr>
          <w:rFonts w:hint="eastAsia" w:hAnsi="宋体" w:cs="宋体"/>
          <w:lang w:val="en-US" w:eastAsia="zh-CN"/>
        </w:rPr>
        <w:t>2</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_Toc8655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rPr>
        <w:t xml:space="preserve">6.3 </w:t>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 </w:t>
      </w:r>
      <w:r>
        <w:rPr>
          <w:rFonts w:hint="eastAsia" w:ascii="宋体" w:hAnsi="宋体" w:eastAsia="宋体" w:cs="宋体"/>
          <w:lang w:val="en-US" w:eastAsia="zh-CN"/>
        </w:rPr>
        <w:t>评价要素</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_Toc18699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rPr>
        <w:t xml:space="preserve">6.4 </w:t>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 </w:t>
      </w:r>
      <w:r>
        <w:rPr>
          <w:rFonts w:hint="eastAsia" w:ascii="宋体" w:hAnsi="宋体" w:eastAsia="宋体" w:cs="宋体"/>
          <w:lang w:val="en-US" w:eastAsia="zh-CN"/>
        </w:rPr>
        <w:t>IT治理绩效评价模型</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_Toc10216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rPr>
        <w:t xml:space="preserve">6.5 </w:t>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 </w:t>
      </w:r>
      <w:r>
        <w:rPr>
          <w:rFonts w:hint="eastAsia" w:ascii="宋体" w:hAnsi="宋体" w:eastAsia="宋体" w:cs="宋体"/>
          <w:lang w:val="en-US" w:eastAsia="zh-CN"/>
        </w:rPr>
        <w:t>绩效指标</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p>
    <w:p>
      <w:pPr>
        <w:pStyle w:val="5"/>
        <w:tabs>
          <w:tab w:val="right" w:leader="dot" w:pos="9355"/>
          <w:tab w:val="clear" w:pos="9242"/>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_Toc31248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7  </w:t>
      </w:r>
      <w:r>
        <w:rPr>
          <w:rFonts w:hint="eastAsia" w:ascii="宋体" w:hAnsi="宋体" w:eastAsia="宋体" w:cs="宋体"/>
          <w:highlight w:val="none"/>
          <w:lang w:val="en-US" w:eastAsia="zh-CN"/>
        </w:rPr>
        <w:t>IT治理绩效评价</w:t>
      </w:r>
      <w:r>
        <w:rPr>
          <w:rFonts w:hint="eastAsia" w:hAnsi="宋体" w:cs="宋体"/>
          <w:highlight w:val="none"/>
          <w:lang w:val="en-US" w:eastAsia="zh-CN"/>
        </w:rPr>
        <w:t>程序</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_Toc12811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7.1  </w:t>
      </w:r>
      <w:r>
        <w:rPr>
          <w:rFonts w:hint="eastAsia" w:ascii="宋体" w:hAnsi="宋体" w:eastAsia="宋体" w:cs="宋体"/>
          <w:lang w:val="en-US" w:eastAsia="zh-CN"/>
        </w:rPr>
        <w:t>明确目标和范围</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_Toc20145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7.2  </w:t>
      </w:r>
      <w:r>
        <w:rPr>
          <w:rFonts w:hint="eastAsia" w:ascii="宋体" w:hAnsi="宋体" w:eastAsia="宋体" w:cs="宋体"/>
          <w:lang w:val="en-US" w:eastAsia="zh-CN"/>
        </w:rPr>
        <w:t>定义治理要素和评价要素</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_Toc31532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7.3  </w:t>
      </w:r>
      <w:r>
        <w:rPr>
          <w:rFonts w:hint="eastAsia" w:ascii="宋体" w:hAnsi="宋体" w:eastAsia="宋体" w:cs="宋体"/>
          <w:lang w:val="en-US" w:eastAsia="zh-CN"/>
        </w:rPr>
        <w:t>设计指标体系</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_Toc15844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7.4  </w:t>
      </w:r>
      <w:r>
        <w:rPr>
          <w:rFonts w:hint="eastAsia" w:ascii="宋体" w:hAnsi="宋体" w:eastAsia="宋体" w:cs="宋体"/>
          <w:lang w:val="en-US" w:eastAsia="zh-CN"/>
        </w:rPr>
        <w:t>定义权重</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_Toc28401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7.5  </w:t>
      </w:r>
      <w:r>
        <w:rPr>
          <w:rFonts w:hint="eastAsia" w:ascii="宋体" w:hAnsi="宋体" w:eastAsia="宋体" w:cs="宋体"/>
          <w:lang w:val="en-US" w:eastAsia="zh-CN"/>
        </w:rPr>
        <w:t>成熟度及绩效评价</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p>
    <w:p>
      <w:pPr>
        <w:pStyle w:val="5"/>
        <w:tabs>
          <w:tab w:val="right" w:leader="dot" w:pos="9355"/>
          <w:tab w:val="clear" w:pos="9242"/>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_Toc15129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outline w:val="0"/>
          <w:shadow w:val="0"/>
          <w:emboss w:val="0"/>
          <w:imprint w:val="0"/>
          <w:vanish w:val="0"/>
          <w:spacing w:val="0"/>
          <w:kern w:val="0"/>
          <w:position w:val="0"/>
          <w:szCs w:val="21"/>
          <w:vertAlign w:val="baseline"/>
          <w:lang w:val="en-US" w:eastAsia="zh-CN"/>
        </w:rPr>
        <w:t xml:space="preserve">7.6  </w:t>
      </w:r>
      <w:r>
        <w:rPr>
          <w:rFonts w:hint="eastAsia" w:ascii="宋体" w:hAnsi="宋体" w:eastAsia="宋体" w:cs="宋体"/>
          <w:lang w:val="en-US" w:eastAsia="zh-CN"/>
        </w:rPr>
        <w:t>执行评价</w:t>
      </w:r>
      <w:r>
        <w:rPr>
          <w:rFonts w:hint="eastAsia" w:ascii="宋体" w:hAnsi="宋体" w:eastAsia="宋体" w:cs="宋体"/>
        </w:rPr>
        <w:tab/>
      </w:r>
      <w:r>
        <w:rPr>
          <w:rFonts w:hint="eastAsia" w:hAnsi="宋体" w:cs="宋体"/>
          <w:lang w:val="en-US" w:eastAsia="zh-CN"/>
        </w:rPr>
        <w:t>9</w:t>
      </w:r>
      <w:r>
        <w:rPr>
          <w:rFonts w:hint="eastAsia" w:ascii="宋体" w:hAnsi="宋体" w:eastAsia="宋体" w:cs="宋体"/>
        </w:rPr>
        <w:fldChar w:fldCharType="end"/>
      </w:r>
    </w:p>
    <w:p>
      <w:pPr>
        <w:pStyle w:val="6"/>
        <w:tabs>
          <w:tab w:val="right" w:leader="dot" w:pos="9355"/>
          <w:tab w:val="clear" w:pos="9242"/>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_Toc6118 </w:instrText>
      </w:r>
      <w:r>
        <w:rPr>
          <w:rFonts w:hint="eastAsia" w:ascii="宋体" w:hAnsi="宋体" w:eastAsia="宋体" w:cs="宋体"/>
        </w:rPr>
        <w:fldChar w:fldCharType="separate"/>
      </w:r>
      <w:r>
        <w:rPr>
          <w:rFonts w:hint="eastAsia" w:ascii="宋体" w:hAnsi="宋体" w:eastAsia="宋体" w:cs="宋体"/>
        </w:rPr>
        <w:t>参考文献</w:t>
      </w:r>
      <w:r>
        <w:rPr>
          <w:rFonts w:hint="eastAsia" w:ascii="宋体" w:hAnsi="宋体" w:eastAsia="宋体" w:cs="宋体"/>
        </w:rPr>
        <w:tab/>
      </w:r>
      <w:r>
        <w:rPr>
          <w:rFonts w:hint="eastAsia" w:hAnsi="宋体" w:cs="宋体"/>
          <w:lang w:val="en-US" w:eastAsia="zh-CN"/>
        </w:rPr>
        <w:t>1</w:t>
      </w:r>
      <w:r>
        <w:rPr>
          <w:rFonts w:hint="eastAsia" w:ascii="宋体" w:hAnsi="宋体" w:eastAsia="宋体" w:cs="宋体"/>
        </w:rPr>
        <w:fldChar w:fldCharType="end"/>
      </w:r>
      <w:r>
        <w:rPr>
          <w:rFonts w:hint="eastAsia" w:hAnsi="宋体" w:cs="宋体"/>
          <w:lang w:val="en-US" w:eastAsia="zh-CN"/>
        </w:rPr>
        <w:t>0</w:t>
      </w:r>
    </w:p>
    <w:p>
      <w:pPr>
        <w:pStyle w:val="5"/>
        <w:tabs>
          <w:tab w:val="right" w:leader="dot" w:pos="9355"/>
          <w:tab w:val="clear" w:pos="9242"/>
        </w:tabs>
        <w:jc w:val="center"/>
        <w:rPr>
          <w:rFonts w:hint="eastAsia"/>
        </w:rPr>
      </w:pPr>
      <w:r>
        <w:rPr>
          <w:rFonts w:hint="eastAsia" w:ascii="宋体" w:hAnsi="宋体" w:eastAsia="宋体" w:cs="宋体"/>
        </w:rPr>
        <w:fldChar w:fldCharType="end"/>
      </w:r>
    </w:p>
    <w:p>
      <w:pPr>
        <w:rPr>
          <w:rFonts w:hint="eastAsia"/>
        </w:rPr>
      </w:pPr>
      <w:r>
        <w:rPr>
          <w:rFonts w:hint="eastAsia" w:ascii="黑体" w:hAnsi="黑体" w:eastAsia="黑体" w:cs="黑体"/>
          <w:sz w:val="32"/>
          <w:szCs w:val="32"/>
        </w:rPr>
        <w:br w:type="page"/>
      </w:r>
    </w:p>
    <w:p>
      <w:pPr>
        <w:pStyle w:val="5"/>
        <w:tabs>
          <w:tab w:val="right" w:leader="dot" w:pos="9355"/>
          <w:tab w:val="clear" w:pos="9242"/>
        </w:tabs>
        <w:jc w:val="center"/>
        <w:outlineLvl w:val="0"/>
        <w:rPr>
          <w:rFonts w:hint="eastAsia" w:ascii="黑体" w:hAnsi="黑体" w:eastAsia="黑体" w:cs="黑体"/>
          <w:sz w:val="32"/>
          <w:szCs w:val="32"/>
        </w:rPr>
      </w:pPr>
      <w:bookmarkStart w:id="9" w:name="_Toc960"/>
      <w:bookmarkStart w:id="10" w:name="_Toc26159"/>
      <w:r>
        <w:rPr>
          <w:rFonts w:hint="eastAsia" w:ascii="黑体" w:hAnsi="黑体" w:eastAsia="黑体" w:cs="黑体"/>
          <w:sz w:val="32"/>
          <w:szCs w:val="32"/>
        </w:rPr>
        <w:t>前</w:t>
      </w:r>
      <w:bookmarkStart w:id="11" w:name="BKQY"/>
      <w:r>
        <w:rPr>
          <w:rFonts w:hint="eastAsia" w:ascii="黑体" w:hAnsi="黑体" w:eastAsia="黑体" w:cs="黑体"/>
          <w:sz w:val="32"/>
          <w:szCs w:val="32"/>
        </w:rPr>
        <w:t>  言</w:t>
      </w:r>
      <w:bookmarkEnd w:id="4"/>
      <w:bookmarkEnd w:id="5"/>
      <w:bookmarkEnd w:id="6"/>
      <w:bookmarkEnd w:id="7"/>
      <w:bookmarkEnd w:id="8"/>
      <w:bookmarkEnd w:id="9"/>
      <w:bookmarkEnd w:id="10"/>
      <w:bookmarkEnd w:id="11"/>
    </w:p>
    <w:p>
      <w:pPr>
        <w:pStyle w:val="15"/>
        <w:rPr>
          <w:rFonts w:hint="eastAsia" w:hAnsi="宋体"/>
        </w:rPr>
      </w:pPr>
      <w:r>
        <w:rPr>
          <w:rFonts w:hint="eastAsia" w:hAnsi="宋体"/>
        </w:rPr>
        <w:t xml:space="preserve">本文件按照GB/T </w:t>
      </w:r>
      <w:r>
        <w:rPr>
          <w:rFonts w:hint="eastAsia" w:hAnsi="宋体"/>
          <w:lang w:val="en-US" w:eastAsia="zh-CN"/>
        </w:rPr>
        <w:t>1.1</w:t>
      </w:r>
      <w:r>
        <w:rPr>
          <w:rFonts w:hint="eastAsia" w:hAnsi="宋体"/>
        </w:rPr>
        <w:t>-2020《标准化工作导则 第1部分：标准化文件的结构和起草规则》的规</w:t>
      </w:r>
      <w:r>
        <w:rPr>
          <w:rFonts w:hint="default" w:hAnsi="宋体"/>
          <w:lang w:val="en-US"/>
        </w:rPr>
        <w:t>定</w:t>
      </w:r>
      <w:r>
        <w:rPr>
          <w:rFonts w:hint="eastAsia" w:hAnsi="宋体"/>
        </w:rPr>
        <w:t>起草。</w:t>
      </w:r>
    </w:p>
    <w:p>
      <w:pPr>
        <w:pStyle w:val="15"/>
        <w:rPr>
          <w:rFonts w:hint="eastAsia" w:hAnsi="宋体"/>
        </w:rPr>
      </w:pPr>
      <w:r>
        <w:rPr>
          <w:rFonts w:hint="eastAsia" w:hAnsi="宋体"/>
          <w:lang w:val="en-US" w:eastAsia="zh-CN"/>
        </w:rPr>
        <w:t>请注意本文件的某些内容可能涉及专利。本文件的发布机构不承担识别专利的责任。</w:t>
      </w:r>
    </w:p>
    <w:p>
      <w:pPr>
        <w:pStyle w:val="15"/>
        <w:rPr>
          <w:rFonts w:hAnsi="宋体"/>
        </w:rPr>
      </w:pPr>
      <w:r>
        <w:rPr>
          <w:rFonts w:hint="eastAsia" w:hAnsi="宋体"/>
        </w:rPr>
        <w:t>本文件</w:t>
      </w:r>
      <w:r>
        <w:rPr>
          <w:rFonts w:hAnsi="宋体"/>
        </w:rPr>
        <w:t>由</w:t>
      </w:r>
      <w:r>
        <w:rPr>
          <w:rFonts w:hint="eastAsia" w:hAnsi="宋体"/>
          <w:lang w:val="en-US" w:eastAsia="zh-CN"/>
        </w:rPr>
        <w:t>辽宁省工业和信息化厅</w:t>
      </w:r>
      <w:r>
        <w:rPr>
          <w:rFonts w:hAnsi="宋体"/>
        </w:rPr>
        <w:t>提出。</w:t>
      </w:r>
    </w:p>
    <w:p>
      <w:pPr>
        <w:pStyle w:val="15"/>
        <w:rPr>
          <w:rFonts w:hAnsi="宋体"/>
        </w:rPr>
      </w:pPr>
      <w:r>
        <w:rPr>
          <w:rFonts w:hint="eastAsia" w:hAnsi="宋体"/>
        </w:rPr>
        <w:t>本文件</w:t>
      </w:r>
      <w:r>
        <w:rPr>
          <w:rFonts w:hAnsi="宋体"/>
        </w:rPr>
        <w:t>由</w:t>
      </w:r>
      <w:r>
        <w:rPr>
          <w:rFonts w:hint="eastAsia" w:hAnsi="宋体"/>
          <w:lang w:val="en-US" w:eastAsia="zh-CN"/>
        </w:rPr>
        <w:t>辽宁省工业和信息化厅归口</w:t>
      </w:r>
      <w:r>
        <w:rPr>
          <w:rFonts w:hAnsi="宋体"/>
        </w:rPr>
        <w:t>。</w:t>
      </w:r>
    </w:p>
    <w:p>
      <w:pPr>
        <w:pStyle w:val="15"/>
        <w:rPr>
          <w:rFonts w:hAnsi="宋体"/>
        </w:rPr>
      </w:pPr>
      <w:r>
        <w:rPr>
          <w:rFonts w:hint="eastAsia" w:hAnsi="宋体"/>
        </w:rPr>
        <w:t>本文件起草单位：</w:t>
      </w:r>
      <w:r>
        <w:rPr>
          <w:rFonts w:hint="eastAsia"/>
          <w:color w:val="000000" w:themeColor="text1"/>
          <w14:textFill>
            <w14:solidFill>
              <w14:schemeClr w14:val="tx1"/>
            </w14:solidFill>
          </w14:textFill>
        </w:rPr>
        <w:t>辽宁省先进装备制造业基地建设工程中心、沈阳赛宝科技服务有限公司、沈阳华睿博信息技术有限公司、本溪钢铁（集团）信息自动化有限责任公司、辽宁红沿河核电有限公司、三一重型装备有限公司、辽宁嘉禾精细化工股份有限公司、辽宁邮电规划设计院有限公司、辽宁新途网络科技有限公司</w:t>
      </w:r>
      <w:r>
        <w:rPr>
          <w:rFonts w:hint="eastAsia" w:hAnsi="宋体"/>
        </w:rPr>
        <w:t>。</w:t>
      </w:r>
    </w:p>
    <w:p>
      <w:pPr>
        <w:pStyle w:val="15"/>
      </w:pPr>
      <w:r>
        <w:rPr>
          <w:rFonts w:hint="eastAsia" w:hAnsi="宋体"/>
        </w:rPr>
        <w:t>本文件主要起草人：</w:t>
      </w:r>
      <w:r>
        <w:rPr>
          <w:rFonts w:hint="eastAsia"/>
          <w:color w:val="000000" w:themeColor="text1"/>
          <w14:textFill>
            <w14:solidFill>
              <w14:schemeClr w14:val="tx1"/>
            </w14:solidFill>
          </w14:textFill>
        </w:rPr>
        <w:t>李倩、许铎、董博、邵华、伦健、陈莹、胡巍威、张秀娟、张可、张家军、夏天宇、连秀冰、任颋、杨勍</w:t>
      </w:r>
      <w:r>
        <w:rPr>
          <w:rFonts w:hint="eastAsia"/>
        </w:rPr>
        <w:t>。</w:t>
      </w:r>
    </w:p>
    <w:p>
      <w:pPr>
        <w:pStyle w:val="15"/>
        <w:rPr>
          <w:rFonts w:hint="eastAsia"/>
        </w:rPr>
      </w:pPr>
      <w:r>
        <w:rPr>
          <w:rFonts w:hint="eastAsia"/>
        </w:rPr>
        <w:t>本文件发布实施后，任何单位和个人如有问题和意见建议，均可以通过来电和来函等方式进行反馈，我们将及时答复并认真处理，根据实际情况依法进行评估及复审。</w:t>
      </w:r>
    </w:p>
    <w:p>
      <w:pPr>
        <w:pStyle w:val="15"/>
        <w:rPr>
          <w:rFonts w:hint="eastAsia"/>
        </w:rPr>
      </w:pPr>
      <w:r>
        <w:rPr>
          <w:rFonts w:hint="eastAsia"/>
        </w:rPr>
        <w:t>归口管理部门通信地址：沈阳市皇姑区北陵大街45-2号。</w:t>
      </w:r>
    </w:p>
    <w:p>
      <w:pPr>
        <w:pStyle w:val="15"/>
        <w:rPr>
          <w:rFonts w:hint="eastAsia" w:eastAsia="宋体"/>
          <w:lang w:val="en-US" w:eastAsia="zh-CN"/>
        </w:rPr>
      </w:pPr>
      <w:r>
        <w:rPr>
          <w:rFonts w:hint="eastAsia"/>
        </w:rPr>
        <w:t>归口管理部门联系电话：024-86913384</w:t>
      </w:r>
      <w:r>
        <w:rPr>
          <w:rFonts w:hint="eastAsia"/>
          <w:lang w:eastAsia="zh-CN"/>
        </w:rPr>
        <w:t>。</w:t>
      </w:r>
    </w:p>
    <w:p>
      <w:pPr>
        <w:pStyle w:val="15"/>
        <w:rPr>
          <w:rFonts w:hint="eastAsia"/>
        </w:rPr>
      </w:pPr>
      <w:r>
        <w:rPr>
          <w:rFonts w:hint="eastAsia"/>
        </w:rPr>
        <w:t>标准起草单位通讯地址：辽宁</w:t>
      </w:r>
      <w:r>
        <w:rPr>
          <w:rFonts w:hint="eastAsia"/>
          <w:szCs w:val="22"/>
        </w:rPr>
        <w:t>省沈阳市和平区</w:t>
      </w:r>
      <w:r>
        <w:rPr>
          <w:rFonts w:hint="eastAsia"/>
          <w:szCs w:val="22"/>
          <w:lang w:val="en-US" w:eastAsia="zh-CN"/>
        </w:rPr>
        <w:t>太原北街2号</w:t>
      </w:r>
      <w:r>
        <w:rPr>
          <w:rFonts w:hint="eastAsia"/>
        </w:rPr>
        <w:t>。</w:t>
      </w:r>
    </w:p>
    <w:p>
      <w:pPr>
        <w:pStyle w:val="15"/>
        <w:rPr>
          <w:rFonts w:hint="eastAsia"/>
          <w:szCs w:val="22"/>
        </w:rPr>
      </w:pPr>
      <w:r>
        <w:rPr>
          <w:rFonts w:hint="eastAsia"/>
        </w:rPr>
        <w:t>标准起草单位联系电话：024-23447420。</w:t>
      </w:r>
      <w:r>
        <w:rPr>
          <w:rFonts w:hint="eastAsia"/>
          <w:szCs w:val="22"/>
        </w:rPr>
        <w:t xml:space="preserve"> </w:t>
      </w:r>
    </w:p>
    <w:p>
      <w:pPr>
        <w:pStyle w:val="15"/>
        <w:ind w:left="0" w:leftChars="0" w:firstLine="0" w:firstLineChars="0"/>
        <w:rPr>
          <w:rFonts w:hint="eastAsia"/>
          <w:szCs w:val="22"/>
        </w:rPr>
        <w:sectPr>
          <w:headerReference r:id="rId8" w:type="default"/>
          <w:footerReference r:id="rId10" w:type="default"/>
          <w:headerReference r:id="rId9" w:type="even"/>
          <w:footerReference r:id="rId11" w:type="even"/>
          <w:pgSz w:w="11906" w:h="16838"/>
          <w:pgMar w:top="1417" w:right="1134" w:bottom="1134" w:left="1417" w:header="1418" w:footer="1134" w:gutter="0"/>
          <w:pgNumType w:fmt="upperRoman" w:start="1"/>
          <w:cols w:space="720" w:num="1"/>
          <w:formProt w:val="0"/>
          <w:docGrid w:type="lines" w:linePitch="312" w:charSpace="0"/>
        </w:sectPr>
      </w:pPr>
    </w:p>
    <w:p>
      <w:pPr>
        <w:pStyle w:val="5"/>
        <w:tabs>
          <w:tab w:val="right" w:leader="dot" w:pos="9355"/>
          <w:tab w:val="clear" w:pos="9242"/>
        </w:tabs>
        <w:jc w:val="center"/>
        <w:outlineLvl w:val="0"/>
        <w:rPr>
          <w:rFonts w:hint="eastAsia" w:ascii="黑体" w:hAnsi="黑体" w:eastAsia="黑体" w:cs="黑体"/>
          <w:sz w:val="32"/>
          <w:szCs w:val="32"/>
        </w:rPr>
      </w:pPr>
      <w:bookmarkStart w:id="12" w:name="_Toc29454"/>
      <w:r>
        <w:rPr>
          <w:rFonts w:hint="eastAsia" w:ascii="黑体" w:hAnsi="黑体" w:eastAsia="黑体" w:cs="黑体"/>
          <w:sz w:val="32"/>
          <w:szCs w:val="32"/>
          <w:lang w:val="en-US" w:eastAsia="zh-CN"/>
        </w:rPr>
        <w:t>引</w:t>
      </w:r>
      <w:r>
        <w:rPr>
          <w:rFonts w:hint="eastAsia" w:ascii="黑体" w:hAnsi="黑体" w:eastAsia="黑体" w:cs="黑体"/>
          <w:sz w:val="32"/>
          <w:szCs w:val="32"/>
        </w:rPr>
        <w:t>  言</w:t>
      </w:r>
      <w:bookmarkEnd w:id="12"/>
    </w:p>
    <w:p>
      <w:pPr>
        <w:pStyle w:val="15"/>
        <w:rPr>
          <w:rFonts w:hint="eastAsia"/>
        </w:rPr>
      </w:pPr>
      <w:r>
        <w:rPr>
          <w:rFonts w:hint="eastAsia"/>
          <w:szCs w:val="24"/>
        </w:rPr>
        <w:t>在当前信息革命的时代背景下，</w:t>
      </w:r>
      <w:r>
        <w:rPr>
          <w:rFonts w:hint="eastAsia"/>
          <w:szCs w:val="24"/>
          <w:lang w:val="en-US" w:eastAsia="zh-CN"/>
        </w:rPr>
        <w:t>工业企业</w:t>
      </w:r>
      <w:r>
        <w:rPr>
          <w:rFonts w:hint="eastAsia"/>
          <w:szCs w:val="24"/>
        </w:rPr>
        <w:t>亟需顺应新趋势、把握新机会，形成覆盖全员、全要素、全过程、全方位的管理新模式，从而引领</w:t>
      </w:r>
      <w:r>
        <w:rPr>
          <w:rFonts w:hint="eastAsia"/>
          <w:szCs w:val="24"/>
          <w:lang w:val="en-US" w:eastAsia="zh-CN"/>
        </w:rPr>
        <w:t>工业企业</w:t>
      </w:r>
      <w:r>
        <w:rPr>
          <w:rFonts w:hint="eastAsia"/>
          <w:szCs w:val="24"/>
        </w:rPr>
        <w:t>的战略转型</w:t>
      </w:r>
      <w:r>
        <w:rPr>
          <w:rFonts w:hint="eastAsia"/>
          <w:szCs w:val="24"/>
          <w:lang w:val="en-US" w:eastAsia="zh-CN"/>
        </w:rPr>
        <w:t>变革</w:t>
      </w:r>
      <w:r>
        <w:rPr>
          <w:rFonts w:hint="eastAsia"/>
          <w:szCs w:val="24"/>
          <w:lang w:eastAsia="zh-CN"/>
        </w:rPr>
        <w:t>，</w:t>
      </w:r>
      <w:r>
        <w:rPr>
          <w:rFonts w:hint="eastAsia"/>
          <w:szCs w:val="24"/>
        </w:rPr>
        <w:t>实现可持续发展。</w:t>
      </w:r>
    </w:p>
    <w:p>
      <w:pPr>
        <w:pStyle w:val="15"/>
        <w:rPr>
          <w:rFonts w:hint="eastAsia"/>
        </w:rPr>
      </w:pPr>
      <w:r>
        <w:rPr>
          <w:rFonts w:hint="eastAsia"/>
          <w:szCs w:val="24"/>
          <w:lang w:val="en-US" w:eastAsia="zh-CN"/>
        </w:rPr>
        <w:t>本文件围绕工业企业</w:t>
      </w:r>
      <w:r>
        <w:rPr>
          <w:rFonts w:hint="eastAsia"/>
          <w:szCs w:val="21"/>
          <w:lang w:val="en-US" w:eastAsia="zh-CN"/>
        </w:rPr>
        <w:t>信息化和工业化融合（以下简称：</w:t>
      </w:r>
      <w:r>
        <w:rPr>
          <w:rFonts w:hint="eastAsia"/>
          <w:szCs w:val="21"/>
        </w:rPr>
        <w:t>两化融合</w:t>
      </w:r>
      <w:r>
        <w:rPr>
          <w:rFonts w:hint="eastAsia"/>
          <w:szCs w:val="21"/>
          <w:lang w:val="en-US" w:eastAsia="zh-CN"/>
        </w:rPr>
        <w:t>）</w:t>
      </w:r>
      <w:r>
        <w:rPr>
          <w:rFonts w:hint="eastAsia"/>
          <w:szCs w:val="24"/>
          <w:lang w:val="en-US" w:eastAsia="zh-CN"/>
        </w:rPr>
        <w:t>的核心内涵，遵循两化融合的发展方向，</w:t>
      </w:r>
      <w:r>
        <w:rPr>
          <w:rFonts w:hint="eastAsia"/>
        </w:rPr>
        <w:t>围绕</w:t>
      </w:r>
      <w:r>
        <w:rPr>
          <w:rFonts w:hint="eastAsia"/>
          <w:lang w:val="en-US" w:eastAsia="zh-CN"/>
        </w:rPr>
        <w:t>工业</w:t>
      </w:r>
      <w:r>
        <w:rPr>
          <w:rFonts w:hint="eastAsia"/>
        </w:rPr>
        <w:t>企业战略目标，以业务发展需求为牵引</w:t>
      </w:r>
      <w:r>
        <w:rPr>
          <w:rFonts w:hint="eastAsia"/>
          <w:lang w:eastAsia="zh-CN"/>
        </w:rPr>
        <w:t>，</w:t>
      </w:r>
      <w:r>
        <w:rPr>
          <w:rFonts w:hint="eastAsia"/>
        </w:rPr>
        <w:t>坚持技术应用的适宜性，讲求实效</w:t>
      </w:r>
      <w:r>
        <w:rPr>
          <w:rFonts w:hint="eastAsia"/>
          <w:lang w:eastAsia="zh-CN"/>
        </w:rPr>
        <w:t>，</w:t>
      </w:r>
      <w:r>
        <w:rPr>
          <w:rFonts w:hint="eastAsia"/>
        </w:rPr>
        <w:t>突出两化融合的能力建设，明确发展路径．引导</w:t>
      </w:r>
      <w:r>
        <w:rPr>
          <w:rFonts w:hint="eastAsia"/>
          <w:lang w:val="en-US" w:eastAsia="zh-CN"/>
        </w:rPr>
        <w:t>工业</w:t>
      </w:r>
      <w:r>
        <w:rPr>
          <w:rFonts w:hint="eastAsia"/>
        </w:rPr>
        <w:t>企业通过</w:t>
      </w:r>
      <w:r>
        <w:rPr>
          <w:rFonts w:hint="eastAsia"/>
          <w:szCs w:val="21"/>
        </w:rPr>
        <w:t>信息技术治理（以下简称：IT治理）</w:t>
      </w:r>
      <w:r>
        <w:rPr>
          <w:rFonts w:hint="eastAsia"/>
          <w:lang w:val="en-US" w:eastAsia="zh-CN"/>
        </w:rPr>
        <w:t>绩效评价推动</w:t>
      </w:r>
      <w:r>
        <w:rPr>
          <w:rFonts w:hint="eastAsia"/>
        </w:rPr>
        <w:t>两化融合创新发展、智能发展和绿色发展</w:t>
      </w:r>
      <w:r>
        <w:rPr>
          <w:rFonts w:hint="eastAsia"/>
          <w:lang w:eastAsia="zh-CN"/>
        </w:rPr>
        <w:t>，</w:t>
      </w:r>
      <w:r>
        <w:rPr>
          <w:rFonts w:hint="eastAsia"/>
        </w:rPr>
        <w:t>获取和提升可持续发展的竞争能力。</w:t>
      </w:r>
    </w:p>
    <w:p>
      <w:pPr>
        <w:pStyle w:val="15"/>
        <w:rPr>
          <w:rFonts w:hint="eastAsia"/>
        </w:rPr>
      </w:pPr>
      <w:r>
        <w:rPr>
          <w:rFonts w:hint="eastAsia"/>
          <w:lang w:val="en-US" w:eastAsia="zh-CN"/>
        </w:rPr>
        <w:t>通过</w:t>
      </w:r>
      <w:r>
        <w:rPr>
          <w:rFonts w:hint="eastAsia"/>
          <w:szCs w:val="21"/>
        </w:rPr>
        <w:t>IT治理</w:t>
      </w:r>
      <w:r>
        <w:rPr>
          <w:rFonts w:hint="eastAsia"/>
          <w:lang w:val="en-US" w:eastAsia="zh-CN"/>
        </w:rPr>
        <w:t>绩效评价，工业企业可实现</w:t>
      </w:r>
      <w:r>
        <w:rPr>
          <w:rFonts w:hint="eastAsia"/>
        </w:rPr>
        <w:t>下述核心价值</w:t>
      </w:r>
      <w:r>
        <w:rPr>
          <w:rFonts w:hint="eastAsia"/>
          <w:lang w:eastAsia="zh-CN"/>
        </w:rPr>
        <w:t>的</w:t>
      </w:r>
      <w:r>
        <w:rPr>
          <w:rFonts w:hint="eastAsia"/>
          <w:lang w:val="en-US" w:eastAsia="zh-CN"/>
        </w:rPr>
        <w:t>提升</w:t>
      </w:r>
      <w:r>
        <w:rPr>
          <w:rFonts w:hint="eastAsia"/>
        </w:rPr>
        <w:t>：</w:t>
      </w:r>
    </w:p>
    <w:p>
      <w:pPr>
        <w:pStyle w:val="3"/>
        <w:numPr>
          <w:ilvl w:val="0"/>
          <w:numId w:val="2"/>
        </w:numPr>
        <w:ind w:left="840" w:leftChars="0" w:hanging="420" w:firstLineChars="0"/>
        <w:jc w:val="both"/>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创新能力：应对变化的需求，能够不断开展产品、技术、管理、服务和运行模式创新，持续提升工业企业竞争能力；</w:t>
      </w:r>
    </w:p>
    <w:p>
      <w:pPr>
        <w:pStyle w:val="3"/>
        <w:numPr>
          <w:ilvl w:val="0"/>
          <w:numId w:val="2"/>
        </w:numPr>
        <w:ind w:left="840" w:leftChars="0" w:hanging="420" w:firstLineChars="0"/>
        <w:jc w:val="both"/>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快速响应：工业企业对迅速改变的需求能够灵敏、快捷、准确反应，增强业务柔性，消除过程故障和冗余，提高效率，以保持工业企业在竞争中的比较优势；</w:t>
      </w:r>
    </w:p>
    <w:p>
      <w:pPr>
        <w:pStyle w:val="3"/>
        <w:numPr>
          <w:ilvl w:val="0"/>
          <w:numId w:val="2"/>
        </w:numPr>
        <w:ind w:left="840" w:leftChars="0" w:hanging="420" w:firstLineChars="0"/>
        <w:jc w:val="both"/>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精细管理：在不断完善标准化的基础上，将工业企业战略规划有效贯彻到每个业务环节，并规范执行和发挥作用，最大限度地减少管理所占用的资源，减少浪费，降低成本，提升质量，提升工业企业整体执行能力；</w:t>
      </w:r>
    </w:p>
    <w:p>
      <w:pPr>
        <w:pStyle w:val="3"/>
        <w:numPr>
          <w:ilvl w:val="0"/>
          <w:numId w:val="2"/>
        </w:numPr>
        <w:ind w:left="840" w:leftChars="0" w:hanging="420" w:firstLineChars="0"/>
        <w:jc w:val="both"/>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全员提升：激发员工工作热情、内在潜力和创新能力，提升员工素质和活力，根本性推动员工与工业企业共同发展；</w:t>
      </w:r>
    </w:p>
    <w:p>
      <w:pPr>
        <w:pStyle w:val="3"/>
        <w:numPr>
          <w:ilvl w:val="0"/>
          <w:numId w:val="2"/>
        </w:numPr>
        <w:ind w:left="840" w:leftChars="0" w:hanging="420" w:firstLineChars="0"/>
        <w:jc w:val="both"/>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客户满意：发现、满足和引导客户不断变化的需求，为客户创造更多价值，提升客户对工业企业、产品、服务和员工的认可程度，从而极大限度实现客户和工业企业的价值双嬴；</w:t>
      </w:r>
    </w:p>
    <w:p>
      <w:pPr>
        <w:pStyle w:val="3"/>
        <w:numPr>
          <w:ilvl w:val="0"/>
          <w:numId w:val="2"/>
        </w:numPr>
        <w:ind w:left="840" w:leftChars="0" w:hanging="420" w:firstLineChars="0"/>
        <w:jc w:val="both"/>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合作共嬴：整合外部优质资源，增强竞争优势，打造和提升核心竞争能力，提高市场占有率、扩大市场容量，实现合作伙伴协同发展；</w:t>
      </w:r>
    </w:p>
    <w:p>
      <w:pPr>
        <w:pStyle w:val="3"/>
        <w:numPr>
          <w:ilvl w:val="0"/>
          <w:numId w:val="2"/>
        </w:numPr>
        <w:ind w:left="840" w:leftChars="0" w:hanging="420" w:firstLineChars="0"/>
        <w:jc w:val="both"/>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节能环保：加强产品设计、工艺设计、生产制造以及物流配送等的绿色化，不断提升工业企业节能、降秏、减排、治污能力，将节能减排作为工业企业发展的内在要求，从而实现可持续发展。</w:t>
      </w:r>
    </w:p>
    <w:p>
      <w:pPr>
        <w:pStyle w:val="15"/>
        <w:ind w:left="0" w:leftChars="0" w:firstLine="0" w:firstLineChars="0"/>
        <w:rPr>
          <w:rFonts w:hint="eastAsia"/>
          <w:szCs w:val="22"/>
        </w:rPr>
        <w:sectPr>
          <w:pgSz w:w="11906" w:h="16838"/>
          <w:pgMar w:top="1417" w:right="1134" w:bottom="1134" w:left="1417" w:header="1418" w:footer="1134" w:gutter="0"/>
          <w:pgNumType w:fmt="upperRoman"/>
          <w:cols w:space="720" w:num="1"/>
          <w:formProt w:val="0"/>
          <w:docGrid w:type="lines" w:linePitch="312" w:charSpace="0"/>
        </w:sectPr>
      </w:pPr>
    </w:p>
    <w:bookmarkEnd w:id="0"/>
    <w:p>
      <w:pPr>
        <w:jc w:val="center"/>
        <w:rPr>
          <w:rFonts w:hint="eastAsia" w:ascii="黑体" w:hAnsi="黑体" w:eastAsia="黑体" w:cs="黑体"/>
          <w:sz w:val="32"/>
          <w:szCs w:val="32"/>
        </w:rPr>
      </w:pPr>
      <w:r>
        <w:rPr>
          <w:rFonts w:hint="eastAsia" w:ascii="黑体" w:hAnsi="黑体" w:eastAsia="黑体" w:cs="黑体"/>
          <w:sz w:val="32"/>
          <w:szCs w:val="32"/>
        </w:rPr>
        <w:t>两化融合IT治理绩效评价实施指南</w:t>
      </w:r>
    </w:p>
    <w:p>
      <w:pPr>
        <w:pStyle w:val="14"/>
        <w:spacing w:before="312" w:after="312"/>
        <w:outlineLvl w:val="0"/>
      </w:pPr>
      <w:bookmarkStart w:id="13" w:name="_Toc1753"/>
      <w:bookmarkStart w:id="14" w:name="_Toc28728"/>
      <w:bookmarkStart w:id="15" w:name="_Toc15340"/>
      <w:bookmarkStart w:id="16" w:name="_Toc2662"/>
      <w:bookmarkStart w:id="17" w:name="_Toc21437"/>
      <w:bookmarkStart w:id="18" w:name="_Toc13382"/>
      <w:bookmarkStart w:id="19" w:name="_Toc30899"/>
      <w:bookmarkStart w:id="20" w:name="_Toc11926"/>
      <w:r>
        <w:rPr>
          <w:rFonts w:hint="eastAsia"/>
        </w:rPr>
        <w:t>范围</w:t>
      </w:r>
      <w:bookmarkEnd w:id="13"/>
      <w:bookmarkEnd w:id="14"/>
      <w:bookmarkEnd w:id="15"/>
      <w:bookmarkEnd w:id="16"/>
      <w:bookmarkEnd w:id="17"/>
      <w:bookmarkEnd w:id="18"/>
      <w:bookmarkEnd w:id="19"/>
      <w:bookmarkEnd w:id="20"/>
    </w:p>
    <w:p>
      <w:pPr>
        <w:pStyle w:val="15"/>
        <w:rPr>
          <w:rFonts w:hint="eastAsia"/>
          <w:szCs w:val="21"/>
        </w:rPr>
      </w:pPr>
      <w:r>
        <w:rPr>
          <w:rFonts w:hint="eastAsia"/>
          <w:szCs w:val="21"/>
        </w:rPr>
        <w:t>本文件规定了两化融合背景下，IT治理</w:t>
      </w:r>
      <w:r>
        <w:rPr>
          <w:rFonts w:hint="eastAsia"/>
          <w:szCs w:val="21"/>
          <w:lang w:val="en-US" w:eastAsia="zh-CN"/>
        </w:rPr>
        <w:t>实施框架</w:t>
      </w:r>
      <w:r>
        <w:rPr>
          <w:rFonts w:hint="eastAsia"/>
          <w:szCs w:val="21"/>
        </w:rPr>
        <w:t>、</w:t>
      </w:r>
      <w:r>
        <w:rPr>
          <w:rFonts w:hint="eastAsia"/>
          <w:szCs w:val="21"/>
          <w:lang w:val="en-US" w:eastAsia="zh-CN"/>
        </w:rPr>
        <w:t>评价原则、IT治理绩效评价框架和IT治理绩效评价程序</w:t>
      </w:r>
      <w:r>
        <w:rPr>
          <w:rFonts w:hint="eastAsia"/>
          <w:szCs w:val="21"/>
        </w:rPr>
        <w:t>等内容</w:t>
      </w:r>
      <w:r>
        <w:rPr>
          <w:rFonts w:hint="eastAsia"/>
          <w:szCs w:val="21"/>
          <w:lang w:eastAsia="zh-CN"/>
        </w:rPr>
        <w:t>。</w:t>
      </w:r>
    </w:p>
    <w:p>
      <w:pPr>
        <w:pStyle w:val="15"/>
        <w:rPr>
          <w:rFonts w:hint="eastAsia"/>
          <w:szCs w:val="21"/>
        </w:rPr>
      </w:pPr>
      <w:r>
        <w:rPr>
          <w:rFonts w:hint="eastAsia"/>
          <w:szCs w:val="21"/>
        </w:rPr>
        <w:t>本</w:t>
      </w:r>
      <w:r>
        <w:rPr>
          <w:rFonts w:hint="eastAsia"/>
          <w:szCs w:val="21"/>
          <w:lang w:val="en-US" w:eastAsia="zh-CN"/>
        </w:rPr>
        <w:t>文件</w:t>
      </w:r>
      <w:r>
        <w:rPr>
          <w:rFonts w:hint="eastAsia"/>
          <w:szCs w:val="21"/>
        </w:rPr>
        <w:t>适用于：</w:t>
      </w:r>
    </w:p>
    <w:p>
      <w:pPr>
        <w:pStyle w:val="3"/>
        <w:numPr>
          <w:ilvl w:val="0"/>
          <w:numId w:val="3"/>
        </w:numPr>
        <w:ind w:firstLine="420" w:firstLineChars="200"/>
        <w:jc w:val="both"/>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工业企业规划、建设IT治理体系，或实施自我评价和改进；</w:t>
      </w:r>
    </w:p>
    <w:p>
      <w:pPr>
        <w:pStyle w:val="3"/>
        <w:numPr>
          <w:ilvl w:val="0"/>
          <w:numId w:val="3"/>
        </w:numPr>
        <w:ind w:firstLine="420" w:firstLineChars="200"/>
        <w:jc w:val="both"/>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开展信息技术审计；</w:t>
      </w:r>
    </w:p>
    <w:p>
      <w:pPr>
        <w:pStyle w:val="3"/>
        <w:numPr>
          <w:ilvl w:val="0"/>
          <w:numId w:val="3"/>
        </w:numPr>
        <w:ind w:firstLine="420" w:firstLineChars="200"/>
        <w:jc w:val="both"/>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研发选择和评价IT治理相关的软件或解决方案；</w:t>
      </w:r>
    </w:p>
    <w:p>
      <w:pPr>
        <w:pStyle w:val="3"/>
        <w:numPr>
          <w:ilvl w:val="0"/>
          <w:numId w:val="3"/>
        </w:numPr>
        <w:ind w:firstLine="420" w:firstLineChars="200"/>
        <w:jc w:val="both"/>
        <w:rPr>
          <w:rFonts w:hint="eastAsia" w:ascii="宋体" w:hAnsi="宋体" w:eastAsia="宋体" w:cs="宋体"/>
          <w:spacing w:val="0"/>
          <w:kern w:val="2"/>
          <w:sz w:val="21"/>
          <w:szCs w:val="24"/>
          <w:lang w:val="en-US" w:eastAsia="zh-CN" w:bidi="ar-SA"/>
        </w:rPr>
      </w:pPr>
      <w:r>
        <w:rPr>
          <w:rFonts w:hint="eastAsia" w:ascii="宋体" w:hAnsi="宋体" w:eastAsia="宋体" w:cs="宋体"/>
          <w:spacing w:val="0"/>
          <w:kern w:val="2"/>
          <w:sz w:val="21"/>
          <w:szCs w:val="24"/>
          <w:lang w:val="en-US" w:eastAsia="zh-CN" w:bidi="ar-SA"/>
        </w:rPr>
        <w:t>第三方对工业企业的IT治理能力进行评价。</w:t>
      </w:r>
    </w:p>
    <w:p>
      <w:pPr>
        <w:pStyle w:val="15"/>
        <w:rPr>
          <w:rFonts w:hint="eastAsia"/>
        </w:rPr>
      </w:pPr>
      <w:r>
        <w:rPr>
          <w:rFonts w:hint="eastAsia"/>
          <w:szCs w:val="21"/>
        </w:rPr>
        <w:t>各级各类信息化主管部门可根据法律法规、</w:t>
      </w:r>
      <w:r>
        <w:rPr>
          <w:rFonts w:hint="eastAsia"/>
          <w:szCs w:val="21"/>
          <w:lang w:val="en-US" w:eastAsia="zh-CN"/>
        </w:rPr>
        <w:t>政策文件</w:t>
      </w:r>
      <w:r>
        <w:rPr>
          <w:rFonts w:hint="eastAsia"/>
          <w:szCs w:val="21"/>
        </w:rPr>
        <w:t>的要求，使用本文件对所管辖各类组织的IT治理提出要求，并进行评估、指导和监督。</w:t>
      </w:r>
      <w:bookmarkStart w:id="141" w:name="_GoBack"/>
      <w:bookmarkEnd w:id="141"/>
    </w:p>
    <w:p>
      <w:pPr>
        <w:pStyle w:val="14"/>
        <w:spacing w:before="312" w:after="312"/>
        <w:outlineLvl w:val="0"/>
      </w:pPr>
      <w:bookmarkStart w:id="21" w:name="_Toc10575"/>
      <w:bookmarkStart w:id="22" w:name="_Toc969"/>
      <w:bookmarkStart w:id="23" w:name="_Toc17506"/>
      <w:bookmarkStart w:id="24" w:name="_Toc26577"/>
      <w:bookmarkStart w:id="25" w:name="_Toc16965"/>
      <w:bookmarkStart w:id="26" w:name="_Toc27822"/>
      <w:bookmarkStart w:id="27" w:name="_Toc28726"/>
      <w:bookmarkStart w:id="28" w:name="_Toc13501"/>
      <w:r>
        <w:rPr>
          <w:rFonts w:hint="eastAsia"/>
        </w:rPr>
        <w:t>规范性引用文件</w:t>
      </w:r>
      <w:bookmarkEnd w:id="21"/>
      <w:bookmarkEnd w:id="22"/>
      <w:bookmarkEnd w:id="23"/>
      <w:bookmarkEnd w:id="24"/>
      <w:bookmarkEnd w:id="25"/>
      <w:bookmarkEnd w:id="26"/>
      <w:bookmarkEnd w:id="27"/>
      <w:bookmarkEnd w:id="28"/>
    </w:p>
    <w:p>
      <w:pPr>
        <w:ind w:firstLine="420" w:firstLineChars="200"/>
        <w:rPr>
          <w:rFonts w:hint="eastAsia" w:hAnsi="宋体"/>
        </w:rPr>
      </w:pPr>
      <w:r>
        <w:rPr>
          <w:rFonts w:hint="eastAsia" w:hAnsi="宋体"/>
        </w:rPr>
        <w:t>下列文件中的内容通过文中的规范性引用而构成本文件必不可少的条款。其中，注日期的</w:t>
      </w:r>
      <w:r>
        <w:rPr>
          <w:rFonts w:hint="eastAsia" w:hAnsi="宋体"/>
          <w:lang w:val="en-US" w:eastAsia="zh-CN"/>
        </w:rPr>
        <w:t>引用</w:t>
      </w:r>
      <w:r>
        <w:rPr>
          <w:rFonts w:hint="eastAsia" w:hAnsi="宋体"/>
        </w:rPr>
        <w:t>文件，仅该日期对应的版本适用于本文件；不注日期的引用文件，其最新版本（包括所有的修改单）适用于本文件。</w:t>
      </w:r>
    </w:p>
    <w:p>
      <w:pPr>
        <w:pStyle w:val="15"/>
        <w:rPr>
          <w:rFonts w:hint="eastAsia" w:hAnsi="宋体"/>
          <w:szCs w:val="22"/>
          <w:highlight w:val="none"/>
          <w:lang w:val="en-US" w:eastAsia="zh-CN"/>
        </w:rPr>
      </w:pPr>
      <w:r>
        <w:rPr>
          <w:rFonts w:hint="eastAsia" w:hAnsi="宋体"/>
          <w:szCs w:val="22"/>
          <w:highlight w:val="none"/>
        </w:rPr>
        <w:t>GB/T 230</w:t>
      </w:r>
      <w:r>
        <w:rPr>
          <w:rFonts w:hint="eastAsia" w:hAnsi="宋体"/>
          <w:szCs w:val="22"/>
          <w:highlight w:val="none"/>
          <w:lang w:val="en-US" w:eastAsia="zh-CN"/>
        </w:rPr>
        <w:t>20</w:t>
      </w:r>
      <w:r>
        <w:rPr>
          <w:rFonts w:hint="eastAsia" w:hAnsi="宋体"/>
          <w:szCs w:val="22"/>
          <w:highlight w:val="none"/>
        </w:rPr>
        <w:t>-201</w:t>
      </w:r>
      <w:r>
        <w:rPr>
          <w:rFonts w:hint="eastAsia" w:hAnsi="宋体"/>
          <w:szCs w:val="22"/>
          <w:highlight w:val="none"/>
          <w:lang w:val="en-US" w:eastAsia="zh-CN"/>
        </w:rPr>
        <w:t>3  工业企业</w:t>
      </w:r>
      <w:r>
        <w:rPr>
          <w:rFonts w:hint="eastAsia" w:hAnsi="宋体"/>
          <w:szCs w:val="22"/>
          <w:highlight w:val="none"/>
        </w:rPr>
        <w:t>信息化和工业化融合</w:t>
      </w:r>
      <w:r>
        <w:rPr>
          <w:rFonts w:hint="eastAsia" w:hAnsi="宋体"/>
          <w:szCs w:val="22"/>
          <w:highlight w:val="none"/>
          <w:lang w:val="en-US" w:eastAsia="zh-CN"/>
        </w:rPr>
        <w:t>评估规范</w:t>
      </w:r>
    </w:p>
    <w:p>
      <w:pPr>
        <w:pStyle w:val="15"/>
        <w:rPr>
          <w:rFonts w:hint="eastAsia" w:hAnsi="宋体"/>
          <w:szCs w:val="22"/>
          <w:highlight w:val="none"/>
        </w:rPr>
      </w:pPr>
      <w:r>
        <w:rPr>
          <w:rFonts w:hint="eastAsia" w:hAnsi="宋体"/>
          <w:szCs w:val="22"/>
          <w:highlight w:val="none"/>
        </w:rPr>
        <w:t>GB/T 3496</w:t>
      </w:r>
      <w:r>
        <w:rPr>
          <w:rFonts w:hint="eastAsia" w:hAnsi="宋体"/>
          <w:szCs w:val="22"/>
          <w:highlight w:val="none"/>
          <w:lang w:val="en-US" w:eastAsia="zh-CN"/>
        </w:rPr>
        <w:t>0.1</w:t>
      </w:r>
      <w:r>
        <w:rPr>
          <w:rFonts w:hint="eastAsia" w:hAnsi="宋体"/>
          <w:szCs w:val="22"/>
          <w:highlight w:val="none"/>
        </w:rPr>
        <w:t>-2017</w:t>
      </w:r>
      <w:r>
        <w:rPr>
          <w:rFonts w:hint="eastAsia" w:hAnsi="宋体"/>
          <w:szCs w:val="22"/>
          <w:highlight w:val="none"/>
          <w:lang w:val="en-US" w:eastAsia="zh-CN"/>
        </w:rPr>
        <w:t xml:space="preserve">  </w:t>
      </w:r>
      <w:r>
        <w:rPr>
          <w:rFonts w:hint="eastAsia" w:hAnsi="宋体"/>
          <w:szCs w:val="22"/>
          <w:highlight w:val="none"/>
        </w:rPr>
        <w:t>信息技术服务  治理  第1部分</w:t>
      </w:r>
      <w:r>
        <w:rPr>
          <w:rFonts w:hint="eastAsia" w:hAnsi="宋体"/>
          <w:szCs w:val="22"/>
          <w:highlight w:val="none"/>
          <w:lang w:eastAsia="zh-CN"/>
        </w:rPr>
        <w:t>：</w:t>
      </w:r>
      <w:r>
        <w:rPr>
          <w:rFonts w:hint="eastAsia" w:hAnsi="宋体"/>
          <w:szCs w:val="22"/>
          <w:highlight w:val="none"/>
        </w:rPr>
        <w:t>通用要求</w:t>
      </w:r>
    </w:p>
    <w:p>
      <w:pPr>
        <w:pStyle w:val="15"/>
        <w:rPr>
          <w:rFonts w:hint="eastAsia" w:hAnsi="宋体"/>
          <w:szCs w:val="22"/>
          <w:highlight w:val="none"/>
        </w:rPr>
      </w:pPr>
      <w:r>
        <w:rPr>
          <w:rFonts w:hint="eastAsia" w:hAnsi="宋体"/>
          <w:szCs w:val="22"/>
          <w:highlight w:val="none"/>
        </w:rPr>
        <w:t>GB/T 3496</w:t>
      </w:r>
      <w:r>
        <w:rPr>
          <w:rFonts w:hint="eastAsia" w:hAnsi="宋体"/>
          <w:szCs w:val="22"/>
          <w:highlight w:val="none"/>
          <w:lang w:val="en-US" w:eastAsia="zh-CN"/>
        </w:rPr>
        <w:t>0.2</w:t>
      </w:r>
      <w:r>
        <w:rPr>
          <w:rFonts w:hint="eastAsia" w:hAnsi="宋体"/>
          <w:szCs w:val="22"/>
          <w:highlight w:val="none"/>
        </w:rPr>
        <w:t>-2017</w:t>
      </w:r>
      <w:r>
        <w:rPr>
          <w:rFonts w:hint="eastAsia" w:hAnsi="宋体"/>
          <w:szCs w:val="22"/>
          <w:highlight w:val="none"/>
          <w:lang w:val="en-US" w:eastAsia="zh-CN"/>
        </w:rPr>
        <w:t xml:space="preserve">  </w:t>
      </w:r>
      <w:r>
        <w:rPr>
          <w:rFonts w:hint="eastAsia" w:hAnsi="宋体"/>
          <w:szCs w:val="22"/>
          <w:highlight w:val="none"/>
        </w:rPr>
        <w:t>信息技术服务  治理  第2部分</w:t>
      </w:r>
      <w:r>
        <w:rPr>
          <w:rFonts w:hint="eastAsia" w:hAnsi="宋体"/>
          <w:szCs w:val="22"/>
          <w:highlight w:val="none"/>
          <w:lang w:eastAsia="zh-CN"/>
        </w:rPr>
        <w:t>：</w:t>
      </w:r>
      <w:r>
        <w:rPr>
          <w:rFonts w:hint="eastAsia" w:hAnsi="宋体"/>
          <w:szCs w:val="22"/>
          <w:highlight w:val="none"/>
        </w:rPr>
        <w:t>实施指南</w:t>
      </w:r>
    </w:p>
    <w:p>
      <w:pPr>
        <w:pStyle w:val="15"/>
        <w:rPr>
          <w:rFonts w:hint="eastAsia" w:hAnsi="宋体"/>
          <w:szCs w:val="22"/>
          <w:highlight w:val="none"/>
        </w:rPr>
      </w:pPr>
      <w:r>
        <w:rPr>
          <w:rFonts w:hint="eastAsia" w:hAnsi="宋体"/>
          <w:szCs w:val="22"/>
          <w:highlight w:val="none"/>
        </w:rPr>
        <w:t>GB/T 3496</w:t>
      </w:r>
      <w:r>
        <w:rPr>
          <w:rFonts w:hint="eastAsia" w:hAnsi="宋体"/>
          <w:szCs w:val="22"/>
          <w:highlight w:val="none"/>
          <w:lang w:val="en-US" w:eastAsia="zh-CN"/>
        </w:rPr>
        <w:t>0.3</w:t>
      </w:r>
      <w:r>
        <w:rPr>
          <w:rFonts w:hint="eastAsia" w:hAnsi="宋体"/>
          <w:szCs w:val="22"/>
          <w:highlight w:val="none"/>
        </w:rPr>
        <w:t>-2017</w:t>
      </w:r>
      <w:r>
        <w:rPr>
          <w:rFonts w:hint="eastAsia" w:hAnsi="宋体"/>
          <w:szCs w:val="22"/>
          <w:highlight w:val="none"/>
          <w:lang w:val="en-US" w:eastAsia="zh-CN"/>
        </w:rPr>
        <w:t xml:space="preserve">  </w:t>
      </w:r>
      <w:r>
        <w:rPr>
          <w:rFonts w:hint="eastAsia" w:hAnsi="宋体"/>
          <w:szCs w:val="22"/>
          <w:highlight w:val="none"/>
        </w:rPr>
        <w:t>信息技术服务  治理  第3部分</w:t>
      </w:r>
      <w:r>
        <w:rPr>
          <w:rFonts w:hint="eastAsia" w:hAnsi="宋体"/>
          <w:szCs w:val="22"/>
          <w:highlight w:val="none"/>
          <w:lang w:eastAsia="zh-CN"/>
        </w:rPr>
        <w:t>：</w:t>
      </w:r>
      <w:r>
        <w:rPr>
          <w:rFonts w:hint="eastAsia" w:hAnsi="宋体"/>
          <w:szCs w:val="22"/>
          <w:highlight w:val="none"/>
        </w:rPr>
        <w:t>绩效评价</w:t>
      </w:r>
    </w:p>
    <w:p>
      <w:pPr>
        <w:pStyle w:val="14"/>
        <w:spacing w:before="312" w:after="312"/>
        <w:outlineLvl w:val="0"/>
      </w:pPr>
      <w:bookmarkStart w:id="29" w:name="_Toc32127"/>
      <w:bookmarkStart w:id="30" w:name="_Toc12695"/>
      <w:bookmarkStart w:id="31" w:name="_Toc420509188"/>
      <w:bookmarkStart w:id="32" w:name="_Toc9104"/>
      <w:bookmarkStart w:id="33" w:name="_Toc24065"/>
      <w:bookmarkStart w:id="34" w:name="_Toc5294"/>
      <w:bookmarkStart w:id="35" w:name="_Toc20287"/>
      <w:bookmarkStart w:id="36" w:name="_Toc420509244"/>
      <w:bookmarkStart w:id="37" w:name="_Toc23516"/>
      <w:bookmarkStart w:id="38" w:name="_Toc11012"/>
      <w:r>
        <w:rPr>
          <w:rFonts w:hint="eastAsia"/>
        </w:rPr>
        <w:t>术语和定义</w:t>
      </w:r>
      <w:bookmarkEnd w:id="29"/>
      <w:bookmarkEnd w:id="30"/>
      <w:bookmarkEnd w:id="31"/>
      <w:bookmarkEnd w:id="32"/>
      <w:bookmarkEnd w:id="33"/>
      <w:bookmarkEnd w:id="34"/>
      <w:bookmarkEnd w:id="35"/>
      <w:bookmarkEnd w:id="36"/>
      <w:bookmarkEnd w:id="37"/>
      <w:bookmarkEnd w:id="38"/>
    </w:p>
    <w:p>
      <w:pPr>
        <w:pStyle w:val="15"/>
        <w:rPr>
          <w:rFonts w:hAnsi="宋体"/>
        </w:rPr>
      </w:pPr>
      <w:r>
        <w:rPr>
          <w:rFonts w:hAnsi="宋体"/>
        </w:rPr>
        <w:t>下列术语和定义适用于本</w:t>
      </w:r>
      <w:r>
        <w:rPr>
          <w:rFonts w:hint="eastAsia" w:hAnsi="宋体"/>
        </w:rPr>
        <w:t>文件。</w:t>
      </w:r>
    </w:p>
    <w:p>
      <w:pPr>
        <w:pStyle w:val="16"/>
        <w:spacing w:before="156" w:after="156"/>
      </w:pPr>
      <w:bookmarkStart w:id="39" w:name="_Toc420509189"/>
      <w:bookmarkEnd w:id="39"/>
      <w:bookmarkStart w:id="40" w:name="_Toc420509245"/>
      <w:bookmarkEnd w:id="40"/>
      <w:bookmarkStart w:id="41" w:name="_Toc420508186"/>
      <w:bookmarkStart w:id="42" w:name="_Toc420582963"/>
      <w:r>
        <w:rPr>
          <w:rFonts w:hint="eastAsia"/>
        </w:rPr>
        <w:t xml:space="preserve"> </w:t>
      </w:r>
      <w:bookmarkStart w:id="43" w:name="_Toc11808"/>
      <w:bookmarkEnd w:id="43"/>
      <w:bookmarkStart w:id="44" w:name="_Toc11884"/>
      <w:bookmarkEnd w:id="44"/>
      <w:bookmarkStart w:id="45" w:name="_Toc1258"/>
      <w:bookmarkEnd w:id="45"/>
      <w:bookmarkStart w:id="46" w:name="_Toc6349"/>
      <w:bookmarkEnd w:id="46"/>
      <w:bookmarkStart w:id="47" w:name="_Toc12270"/>
      <w:bookmarkEnd w:id="47"/>
      <w:bookmarkStart w:id="48" w:name="_Toc10404"/>
      <w:bookmarkEnd w:id="48"/>
      <w:bookmarkStart w:id="49" w:name="_Toc29340"/>
      <w:bookmarkEnd w:id="49"/>
      <w:bookmarkStart w:id="50" w:name="_Toc5131"/>
      <w:bookmarkEnd w:id="50"/>
      <w:bookmarkStart w:id="51" w:name="_Toc20309"/>
      <w:bookmarkEnd w:id="51"/>
      <w:bookmarkStart w:id="52" w:name="_Toc16784"/>
      <w:bookmarkEnd w:id="52"/>
    </w:p>
    <w:p>
      <w:pPr>
        <w:pStyle w:val="15"/>
        <w:outlineLvl w:val="1"/>
        <w:rPr>
          <w:rFonts w:ascii="黑体" w:eastAsia="黑体"/>
          <w:szCs w:val="21"/>
        </w:rPr>
      </w:pPr>
      <w:bookmarkStart w:id="53" w:name="_Toc11334"/>
      <w:bookmarkStart w:id="54" w:name="_Toc16487"/>
      <w:bookmarkStart w:id="55" w:name="_Toc24403"/>
      <w:bookmarkStart w:id="56" w:name="_Toc25866"/>
      <w:r>
        <w:rPr>
          <w:rFonts w:hint="eastAsia" w:ascii="黑体" w:eastAsia="黑体"/>
          <w:szCs w:val="21"/>
        </w:rPr>
        <w:t>工业企业信息化和工业化融合 integration of informatization and industrialization for industrial enterprises</w:t>
      </w:r>
      <w:bookmarkEnd w:id="53"/>
      <w:bookmarkEnd w:id="54"/>
      <w:bookmarkEnd w:id="55"/>
      <w:bookmarkEnd w:id="56"/>
    </w:p>
    <w:p>
      <w:pPr>
        <w:pStyle w:val="15"/>
        <w:rPr>
          <w:rFonts w:hint="eastAsia"/>
          <w:lang w:val="en-US" w:eastAsia="zh-CN"/>
        </w:rPr>
      </w:pPr>
      <w:r>
        <w:rPr>
          <w:rFonts w:hint="eastAsia"/>
          <w:szCs w:val="22"/>
        </w:rPr>
        <w:t>工业企业围绕发展战略目标，以信息化为企业发展的内生要素，在信息技术和工业技术不断演进、变革与交叉渗透的环境下，夯实工业自动化基础，推进产品研发设计、生产制造、经营管理和营销服务的优化提升，推动业务系统综合集成、企业间业务协同以及发展理念和模式的创新，以提升创新能力、能源资源优化配置水平和利用效率，实现创新发展、智能发展和绿色发展，形成可持续发展竞争能力的过程。</w:t>
      </w:r>
      <w:r>
        <w:rPr>
          <w:rFonts w:hint="eastAsia"/>
        </w:rPr>
        <w:t xml:space="preserve"> </w:t>
      </w:r>
      <w:r>
        <w:rPr>
          <w:rFonts w:hint="eastAsia"/>
          <w:lang w:val="en-US" w:eastAsia="zh-CN"/>
        </w:rPr>
        <w:t>以下简称两化融合。</w:t>
      </w:r>
    </w:p>
    <w:p>
      <w:pPr>
        <w:ind w:firstLine="420" w:firstLineChars="200"/>
        <w:rPr>
          <w:rFonts w:hint="default"/>
          <w:lang w:val="en-US" w:eastAsia="zh-CN"/>
        </w:rPr>
      </w:pPr>
      <w:r>
        <w:rPr>
          <w:rFonts w:hint="eastAsia" w:ascii="宋体"/>
          <w:kern w:val="0"/>
          <w:szCs w:val="22"/>
        </w:rPr>
        <w:t>[</w:t>
      </w:r>
      <w:r>
        <w:rPr>
          <w:rFonts w:hint="eastAsia"/>
          <w:szCs w:val="22"/>
        </w:rPr>
        <w:t>来源：</w:t>
      </w:r>
      <w:r>
        <w:rPr>
          <w:rFonts w:hint="eastAsia" w:ascii="宋体"/>
          <w:kern w:val="0"/>
          <w:szCs w:val="22"/>
        </w:rPr>
        <w:t xml:space="preserve">GB/T </w:t>
      </w:r>
      <w:r>
        <w:rPr>
          <w:rFonts w:hint="eastAsia" w:ascii="宋体"/>
          <w:kern w:val="0"/>
          <w:szCs w:val="22"/>
          <w:lang w:val="en-US" w:eastAsia="zh-CN"/>
        </w:rPr>
        <w:t>23020</w:t>
      </w:r>
      <w:r>
        <w:rPr>
          <w:rFonts w:ascii="宋体"/>
          <w:kern w:val="0"/>
          <w:szCs w:val="22"/>
        </w:rPr>
        <w:t>-20</w:t>
      </w:r>
      <w:r>
        <w:rPr>
          <w:rFonts w:hint="eastAsia" w:ascii="宋体"/>
          <w:kern w:val="0"/>
          <w:szCs w:val="22"/>
          <w:lang w:val="en-US" w:eastAsia="zh-CN"/>
        </w:rPr>
        <w:t>13</w:t>
      </w:r>
      <w:r>
        <w:rPr>
          <w:rFonts w:hint="eastAsia" w:ascii="宋体"/>
          <w:kern w:val="0"/>
          <w:szCs w:val="22"/>
        </w:rPr>
        <w:t>，</w:t>
      </w:r>
      <w:r>
        <w:rPr>
          <w:rFonts w:hint="eastAsia" w:ascii="宋体"/>
          <w:kern w:val="0"/>
          <w:szCs w:val="22"/>
          <w:lang w:val="en-US" w:eastAsia="zh-CN"/>
        </w:rPr>
        <w:t>定义3.1</w:t>
      </w:r>
      <w:r>
        <w:rPr>
          <w:rFonts w:hint="eastAsia" w:ascii="宋体"/>
          <w:kern w:val="0"/>
          <w:szCs w:val="22"/>
        </w:rPr>
        <w:t>]</w:t>
      </w:r>
    </w:p>
    <w:p>
      <w:pPr>
        <w:pStyle w:val="16"/>
        <w:spacing w:before="156" w:after="156"/>
      </w:pPr>
      <w:r>
        <w:rPr>
          <w:rFonts w:hint="eastAsia"/>
        </w:rPr>
        <w:t xml:space="preserve"> </w:t>
      </w:r>
      <w:bookmarkStart w:id="57" w:name="_Toc1"/>
      <w:bookmarkEnd w:id="57"/>
      <w:bookmarkStart w:id="58" w:name="_Toc7206"/>
      <w:bookmarkEnd w:id="58"/>
      <w:bookmarkStart w:id="59" w:name="_Toc24969"/>
      <w:bookmarkEnd w:id="59"/>
      <w:bookmarkStart w:id="60" w:name="_Toc2506"/>
      <w:bookmarkEnd w:id="60"/>
      <w:bookmarkStart w:id="61" w:name="_Toc24775"/>
      <w:bookmarkEnd w:id="61"/>
      <w:bookmarkStart w:id="62" w:name="_Toc12836"/>
      <w:bookmarkEnd w:id="62"/>
      <w:bookmarkStart w:id="63" w:name="_Toc25872"/>
      <w:bookmarkEnd w:id="63"/>
      <w:bookmarkStart w:id="64" w:name="_Toc5173"/>
      <w:bookmarkEnd w:id="64"/>
      <w:bookmarkStart w:id="65" w:name="_Toc5590"/>
      <w:bookmarkEnd w:id="65"/>
      <w:bookmarkStart w:id="66" w:name="_Toc1648"/>
      <w:bookmarkEnd w:id="66"/>
    </w:p>
    <w:p>
      <w:pPr>
        <w:pStyle w:val="15"/>
        <w:outlineLvl w:val="1"/>
        <w:rPr>
          <w:rFonts w:hint="eastAsia" w:ascii="黑体" w:eastAsia="黑体"/>
          <w:szCs w:val="21"/>
        </w:rPr>
      </w:pPr>
      <w:bookmarkStart w:id="67" w:name="_Toc15453"/>
      <w:bookmarkStart w:id="68" w:name="_Toc27875"/>
      <w:bookmarkStart w:id="69" w:name="_Toc21922"/>
      <w:bookmarkStart w:id="70" w:name="_Toc9691"/>
      <w:r>
        <w:rPr>
          <w:rFonts w:hint="eastAsia" w:ascii="黑体" w:eastAsia="黑体"/>
          <w:szCs w:val="21"/>
        </w:rPr>
        <w:t>信息技术治理</w:t>
      </w:r>
      <w:r>
        <w:rPr>
          <w:rFonts w:hint="eastAsia" w:ascii="黑体" w:eastAsia="黑体"/>
          <w:szCs w:val="21"/>
          <w:lang w:val="en-US" w:eastAsia="zh-CN"/>
        </w:rPr>
        <w:t xml:space="preserve"> </w:t>
      </w:r>
      <w:r>
        <w:rPr>
          <w:rFonts w:hint="eastAsia" w:ascii="黑体" w:eastAsia="黑体"/>
          <w:szCs w:val="21"/>
        </w:rPr>
        <w:t>information technology governance</w:t>
      </w:r>
      <w:bookmarkEnd w:id="67"/>
      <w:bookmarkEnd w:id="68"/>
      <w:bookmarkEnd w:id="69"/>
      <w:bookmarkEnd w:id="70"/>
    </w:p>
    <w:p>
      <w:pPr>
        <w:pStyle w:val="15"/>
        <w:rPr>
          <w:rFonts w:hint="eastAsia"/>
          <w:szCs w:val="22"/>
          <w:lang w:val="en-US" w:eastAsia="zh-CN"/>
        </w:rPr>
      </w:pPr>
      <w:r>
        <w:rPr>
          <w:rFonts w:hint="eastAsia"/>
          <w:szCs w:val="22"/>
        </w:rPr>
        <w:t>专注于信息技术体系及其绩效和风险管理的一组治理规则，由领导关系、组织结构和过程组成</w:t>
      </w:r>
      <w:r>
        <w:rPr>
          <w:rFonts w:hint="eastAsia"/>
          <w:szCs w:val="22"/>
          <w:lang w:eastAsia="zh-CN"/>
        </w:rPr>
        <w:t>，</w:t>
      </w:r>
      <w:r>
        <w:rPr>
          <w:rFonts w:hint="eastAsia"/>
          <w:szCs w:val="22"/>
        </w:rPr>
        <w:t>以确保信息技术能够支撑组织的战略目标。</w:t>
      </w:r>
      <w:r>
        <w:rPr>
          <w:rFonts w:hint="eastAsia"/>
          <w:szCs w:val="22"/>
          <w:lang w:val="en-US" w:eastAsia="zh-CN"/>
        </w:rPr>
        <w:t>以下简称IT治理。</w:t>
      </w:r>
    </w:p>
    <w:p>
      <w:pPr>
        <w:pStyle w:val="15"/>
        <w:rPr>
          <w:rFonts w:hint="default"/>
          <w:szCs w:val="22"/>
          <w:lang w:val="en-US" w:eastAsia="zh-CN"/>
        </w:rPr>
      </w:pPr>
      <w:r>
        <w:rPr>
          <w:rFonts w:hint="eastAsia"/>
          <w:szCs w:val="22"/>
        </w:rPr>
        <w:t>[来源：GB/T 3496</w:t>
      </w:r>
      <w:r>
        <w:rPr>
          <w:rFonts w:hint="eastAsia"/>
          <w:szCs w:val="22"/>
          <w:lang w:val="en-US" w:eastAsia="zh-CN"/>
        </w:rPr>
        <w:t>0.1</w:t>
      </w:r>
      <w:r>
        <w:rPr>
          <w:rFonts w:hint="eastAsia"/>
          <w:szCs w:val="22"/>
        </w:rPr>
        <w:t>-2017，</w:t>
      </w:r>
      <w:r>
        <w:rPr>
          <w:rFonts w:hint="eastAsia"/>
          <w:szCs w:val="22"/>
          <w:lang w:val="en-US" w:eastAsia="zh-CN"/>
        </w:rPr>
        <w:t>定义3.1</w:t>
      </w:r>
      <w:r>
        <w:rPr>
          <w:rFonts w:hint="eastAsia"/>
          <w:szCs w:val="22"/>
        </w:rPr>
        <w:t>]</w:t>
      </w:r>
      <w:r>
        <w:rPr>
          <w:rFonts w:hint="eastAsia"/>
        </w:rPr>
        <w:t xml:space="preserve"> </w:t>
      </w:r>
    </w:p>
    <w:p>
      <w:pPr>
        <w:pStyle w:val="16"/>
        <w:spacing w:before="156" w:after="156"/>
      </w:pPr>
      <w:r>
        <w:rPr>
          <w:rFonts w:hint="eastAsia"/>
        </w:rPr>
        <w:t xml:space="preserve"> </w:t>
      </w:r>
      <w:bookmarkStart w:id="71" w:name="_Toc6338"/>
      <w:bookmarkEnd w:id="71"/>
      <w:bookmarkStart w:id="72" w:name="_Toc27557"/>
      <w:bookmarkEnd w:id="72"/>
      <w:bookmarkStart w:id="73" w:name="_Toc4547"/>
      <w:bookmarkEnd w:id="73"/>
      <w:bookmarkStart w:id="74" w:name="_Toc22486"/>
      <w:bookmarkEnd w:id="74"/>
      <w:bookmarkStart w:id="75" w:name="_Toc12462"/>
      <w:bookmarkEnd w:id="75"/>
      <w:bookmarkStart w:id="76" w:name="_Toc14862"/>
      <w:bookmarkEnd w:id="76"/>
      <w:bookmarkStart w:id="77" w:name="_Toc14701"/>
      <w:bookmarkEnd w:id="77"/>
      <w:bookmarkStart w:id="78" w:name="_Toc14743"/>
      <w:bookmarkEnd w:id="78"/>
      <w:bookmarkStart w:id="79" w:name="_Toc31869"/>
      <w:bookmarkEnd w:id="79"/>
      <w:bookmarkStart w:id="80" w:name="_Toc30586"/>
      <w:bookmarkEnd w:id="80"/>
    </w:p>
    <w:p>
      <w:pPr>
        <w:pStyle w:val="15"/>
        <w:outlineLvl w:val="1"/>
        <w:rPr>
          <w:rFonts w:hint="eastAsia" w:ascii="黑体" w:eastAsia="黑体"/>
          <w:szCs w:val="21"/>
        </w:rPr>
      </w:pPr>
      <w:bookmarkStart w:id="81" w:name="_Toc17204"/>
      <w:bookmarkStart w:id="82" w:name="_Toc23376"/>
      <w:bookmarkStart w:id="83" w:name="_Toc27903"/>
      <w:bookmarkStart w:id="84" w:name="_Toc21415"/>
      <w:r>
        <w:rPr>
          <w:rFonts w:hint="eastAsia" w:ascii="黑体" w:eastAsia="黑体"/>
          <w:szCs w:val="21"/>
        </w:rPr>
        <w:t>绩效 performance</w:t>
      </w:r>
      <w:bookmarkEnd w:id="81"/>
      <w:bookmarkEnd w:id="82"/>
      <w:bookmarkEnd w:id="83"/>
      <w:bookmarkEnd w:id="84"/>
    </w:p>
    <w:p>
      <w:pPr>
        <w:pStyle w:val="15"/>
        <w:rPr>
          <w:rFonts w:hint="eastAsia"/>
        </w:rPr>
      </w:pPr>
      <w:r>
        <w:rPr>
          <w:rFonts w:hint="eastAsia"/>
        </w:rPr>
        <w:t>组织为实现其战略目标而展现在不同层面上的有效输出。</w:t>
      </w:r>
    </w:p>
    <w:p>
      <w:pPr>
        <w:pStyle w:val="15"/>
        <w:rPr>
          <w:rFonts w:hint="eastAsia"/>
        </w:rPr>
      </w:pPr>
      <w:r>
        <w:rPr>
          <w:rFonts w:hint="eastAsia"/>
          <w:szCs w:val="22"/>
        </w:rPr>
        <w:t>[来源：GB/T 3496</w:t>
      </w:r>
      <w:r>
        <w:rPr>
          <w:rFonts w:hint="eastAsia"/>
          <w:szCs w:val="22"/>
          <w:lang w:val="en-US" w:eastAsia="zh-CN"/>
        </w:rPr>
        <w:t>0.3</w:t>
      </w:r>
      <w:r>
        <w:rPr>
          <w:rFonts w:hint="eastAsia"/>
          <w:szCs w:val="22"/>
        </w:rPr>
        <w:t>-2017，</w:t>
      </w:r>
      <w:r>
        <w:rPr>
          <w:rFonts w:hint="eastAsia"/>
          <w:szCs w:val="22"/>
          <w:lang w:val="en-US" w:eastAsia="zh-CN"/>
        </w:rPr>
        <w:t>定义3.5</w:t>
      </w:r>
      <w:r>
        <w:rPr>
          <w:rFonts w:hint="eastAsia"/>
          <w:szCs w:val="22"/>
        </w:rPr>
        <w:t xml:space="preserve">] </w:t>
      </w:r>
    </w:p>
    <w:p>
      <w:pPr>
        <w:pStyle w:val="14"/>
        <w:spacing w:before="312" w:after="312"/>
        <w:outlineLvl w:val="0"/>
        <w:rPr>
          <w:rFonts w:hint="eastAsia"/>
        </w:rPr>
      </w:pPr>
      <w:bookmarkStart w:id="85" w:name="_Toc10636"/>
      <w:bookmarkStart w:id="86" w:name="_Toc26869"/>
      <w:bookmarkStart w:id="87" w:name="_Toc7355"/>
      <w:bookmarkStart w:id="88" w:name="_Toc29555"/>
      <w:r>
        <w:rPr>
          <w:rFonts w:hint="eastAsia"/>
          <w:lang w:val="en-US" w:eastAsia="zh-CN"/>
        </w:rPr>
        <w:t>IT治理实施框架</w:t>
      </w:r>
      <w:bookmarkEnd w:id="85"/>
      <w:bookmarkEnd w:id="86"/>
    </w:p>
    <w:p>
      <w:pPr>
        <w:pStyle w:val="3"/>
        <w:ind w:firstLine="420" w:firstLineChars="200"/>
        <w:jc w:val="both"/>
        <w:rPr>
          <w:rFonts w:hint="default" w:ascii="宋体" w:hAnsi="Calibri" w:eastAsia="宋体" w:cs="Times New Roman"/>
          <w:spacing w:val="0"/>
          <w:sz w:val="21"/>
          <w:szCs w:val="24"/>
          <w:lang w:val="en-US" w:eastAsia="zh-CN" w:bidi="ar-SA"/>
        </w:rPr>
      </w:pPr>
      <w:r>
        <w:rPr>
          <w:rFonts w:hint="eastAsia" w:ascii="宋体" w:hAnsi="Calibri" w:eastAsia="宋体" w:cs="Times New Roman"/>
          <w:spacing w:val="0"/>
          <w:sz w:val="21"/>
          <w:szCs w:val="24"/>
          <w:lang w:val="en-US" w:eastAsia="zh-CN" w:bidi="ar-SA"/>
        </w:rPr>
        <w:t>两化融合中的</w:t>
      </w:r>
      <w:r>
        <w:rPr>
          <w:rFonts w:hint="default" w:ascii="宋体" w:hAnsi="Calibri" w:eastAsia="宋体" w:cs="Times New Roman"/>
          <w:spacing w:val="0"/>
          <w:sz w:val="21"/>
          <w:szCs w:val="24"/>
          <w:lang w:val="en-US" w:eastAsia="zh-CN" w:bidi="ar-SA"/>
        </w:rPr>
        <w:t>IT治理实施框架</w:t>
      </w:r>
      <w:r>
        <w:rPr>
          <w:rFonts w:hint="eastAsia" w:ascii="宋体" w:hAnsi="Calibri" w:eastAsia="宋体" w:cs="Times New Roman"/>
          <w:spacing w:val="0"/>
          <w:sz w:val="21"/>
          <w:szCs w:val="24"/>
          <w:lang w:val="en-US" w:eastAsia="zh-CN" w:bidi="ar-SA"/>
        </w:rPr>
        <w:t>及框架中的各要素应满足GB/T 34960.2-2017中的要求。</w:t>
      </w:r>
    </w:p>
    <w:p>
      <w:pPr>
        <w:pStyle w:val="14"/>
        <w:spacing w:before="312" w:after="312"/>
        <w:outlineLvl w:val="0"/>
        <w:rPr>
          <w:rFonts w:hint="eastAsia"/>
        </w:rPr>
      </w:pPr>
      <w:bookmarkStart w:id="89" w:name="_Toc10218"/>
      <w:bookmarkStart w:id="90" w:name="_Toc8111"/>
      <w:r>
        <w:rPr>
          <w:rFonts w:hint="eastAsia"/>
          <w:lang w:val="en-US" w:eastAsia="zh-CN"/>
        </w:rPr>
        <w:t>评价原则</w:t>
      </w:r>
      <w:bookmarkEnd w:id="89"/>
      <w:bookmarkEnd w:id="90"/>
    </w:p>
    <w:p>
      <w:pPr>
        <w:pStyle w:val="16"/>
        <w:spacing w:before="156" w:after="156"/>
        <w:outlineLvl w:val="1"/>
      </w:pPr>
      <w:bookmarkStart w:id="91" w:name="_Toc21694"/>
      <w:bookmarkStart w:id="92" w:name="_Toc6495"/>
      <w:r>
        <w:rPr>
          <w:rFonts w:hint="eastAsia"/>
          <w:lang w:val="en-US" w:eastAsia="zh-CN"/>
        </w:rPr>
        <w:t>科学性</w:t>
      </w:r>
      <w:bookmarkEnd w:id="91"/>
      <w:bookmarkEnd w:id="92"/>
    </w:p>
    <w:p>
      <w:pPr>
        <w:pStyle w:val="15"/>
        <w:rPr>
          <w:rFonts w:hint="eastAsia"/>
        </w:rPr>
      </w:pPr>
      <w:r>
        <w:rPr>
          <w:rFonts w:hint="eastAsia"/>
          <w:szCs w:val="24"/>
          <w:lang w:val="en-US" w:eastAsia="zh-CN"/>
        </w:rPr>
        <w:t>评价</w:t>
      </w:r>
      <w:r>
        <w:rPr>
          <w:rFonts w:hint="eastAsia"/>
          <w:szCs w:val="24"/>
        </w:rPr>
        <w:t>框架结构应相对稳定</w:t>
      </w:r>
      <w:r>
        <w:rPr>
          <w:rFonts w:hint="eastAsia"/>
          <w:szCs w:val="24"/>
          <w:lang w:eastAsia="zh-CN"/>
        </w:rPr>
        <w:t>，</w:t>
      </w:r>
      <w:r>
        <w:rPr>
          <w:rFonts w:hint="eastAsia"/>
          <w:szCs w:val="24"/>
          <w:lang w:val="en-US" w:eastAsia="zh-CN"/>
        </w:rPr>
        <w:t>评价要素的</w:t>
      </w:r>
      <w:r>
        <w:rPr>
          <w:rFonts w:hint="eastAsia"/>
          <w:szCs w:val="24"/>
        </w:rPr>
        <w:t>采集应</w:t>
      </w:r>
      <w:r>
        <w:rPr>
          <w:rFonts w:hint="eastAsia"/>
          <w:szCs w:val="24"/>
          <w:lang w:val="en-US" w:eastAsia="zh-CN"/>
        </w:rPr>
        <w:t>便捷、</w:t>
      </w:r>
      <w:r>
        <w:rPr>
          <w:rFonts w:hint="eastAsia"/>
          <w:szCs w:val="24"/>
        </w:rPr>
        <w:t>准确</w:t>
      </w:r>
      <w:r>
        <w:rPr>
          <w:rFonts w:hint="eastAsia"/>
          <w:szCs w:val="24"/>
          <w:lang w:eastAsia="zh-CN"/>
        </w:rPr>
        <w:t>。</w:t>
      </w:r>
      <w:r>
        <w:rPr>
          <w:rFonts w:hint="eastAsia"/>
          <w:szCs w:val="24"/>
          <w:lang w:val="en-US" w:eastAsia="zh-CN"/>
        </w:rPr>
        <w:t>评价结果</w:t>
      </w:r>
      <w:r>
        <w:rPr>
          <w:rFonts w:hint="eastAsia"/>
          <w:szCs w:val="24"/>
        </w:rPr>
        <w:t>能够反映</w:t>
      </w:r>
      <w:r>
        <w:rPr>
          <w:rFonts w:hint="eastAsia"/>
          <w:szCs w:val="24"/>
          <w:lang w:val="en-US" w:eastAsia="zh-CN"/>
        </w:rPr>
        <w:t>工业企业所处的</w:t>
      </w:r>
      <w:r>
        <w:rPr>
          <w:rFonts w:hint="eastAsia"/>
          <w:szCs w:val="24"/>
        </w:rPr>
        <w:t>两化融合发展阶段，</w:t>
      </w:r>
      <w:r>
        <w:rPr>
          <w:rFonts w:hint="eastAsia"/>
          <w:szCs w:val="24"/>
          <w:lang w:val="en-US" w:eastAsia="zh-CN"/>
        </w:rPr>
        <w:t>并为工业企业</w:t>
      </w:r>
      <w:r>
        <w:rPr>
          <w:rFonts w:hint="eastAsia"/>
          <w:szCs w:val="24"/>
        </w:rPr>
        <w:t>指明发展路径。</w:t>
      </w:r>
      <w:r>
        <w:rPr>
          <w:rFonts w:hint="eastAsia"/>
          <w:szCs w:val="24"/>
          <w:lang w:val="en-US" w:eastAsia="zh-CN"/>
        </w:rPr>
        <w:t>评价</w:t>
      </w:r>
      <w:r>
        <w:rPr>
          <w:rFonts w:hint="eastAsia"/>
          <w:szCs w:val="24"/>
        </w:rPr>
        <w:t>指标应能够表征两化融合的内涵和特征。</w:t>
      </w:r>
      <w:r>
        <w:rPr>
          <w:rFonts w:hint="eastAsia"/>
          <w:szCs w:val="24"/>
          <w:lang w:val="en-US" w:eastAsia="zh-CN"/>
        </w:rPr>
        <w:t>评价</w:t>
      </w:r>
      <w:r>
        <w:rPr>
          <w:rFonts w:hint="eastAsia"/>
          <w:szCs w:val="24"/>
        </w:rPr>
        <w:t>方法应能够有效支持两化融合水平与能力</w:t>
      </w:r>
      <w:r>
        <w:rPr>
          <w:rFonts w:hint="eastAsia"/>
          <w:szCs w:val="24"/>
          <w:lang w:eastAsia="zh-CN"/>
        </w:rPr>
        <w:t>，</w:t>
      </w:r>
      <w:r>
        <w:rPr>
          <w:rFonts w:hint="eastAsia"/>
          <w:szCs w:val="24"/>
        </w:rPr>
        <w:t>效能与效益的评估、分析、诊断和改进。</w:t>
      </w:r>
    </w:p>
    <w:p>
      <w:pPr>
        <w:pStyle w:val="16"/>
        <w:spacing w:before="156" w:after="156"/>
        <w:outlineLvl w:val="1"/>
      </w:pPr>
      <w:bookmarkStart w:id="93" w:name="_Toc31344"/>
      <w:bookmarkStart w:id="94" w:name="_Toc12891"/>
      <w:r>
        <w:rPr>
          <w:rFonts w:hint="eastAsia"/>
          <w:lang w:val="en-US" w:eastAsia="zh-CN"/>
        </w:rPr>
        <w:t>实效性</w:t>
      </w:r>
      <w:bookmarkEnd w:id="93"/>
      <w:bookmarkEnd w:id="94"/>
    </w:p>
    <w:p>
      <w:pPr>
        <w:pStyle w:val="15"/>
        <w:rPr>
          <w:rFonts w:hint="eastAsia"/>
          <w:szCs w:val="24"/>
        </w:rPr>
      </w:pPr>
      <w:r>
        <w:rPr>
          <w:rFonts w:hint="eastAsia"/>
          <w:szCs w:val="24"/>
        </w:rPr>
        <w:t>借鉴先进实用的评估方法，吸取工业实践和企业典型案例经验，反映我国工业企业两化融合的发展现状和趋势，在信息技术与工业技术紧密结合环境下，应以</w:t>
      </w:r>
      <w:r>
        <w:rPr>
          <w:rFonts w:hint="eastAsia"/>
          <w:szCs w:val="24"/>
          <w:lang w:val="en-US" w:eastAsia="zh-CN"/>
        </w:rPr>
        <w:t>评价</w:t>
      </w:r>
      <w:r>
        <w:rPr>
          <w:rFonts w:hint="eastAsia"/>
          <w:szCs w:val="24"/>
        </w:rPr>
        <w:t>企业两化融合的水平与能力和效能与效益为重点，引导企业务实推进两化融合</w:t>
      </w:r>
      <w:r>
        <w:rPr>
          <w:rFonts w:hint="eastAsia"/>
          <w:szCs w:val="24"/>
          <w:lang w:val="en-US" w:eastAsia="zh-CN"/>
        </w:rPr>
        <w:t>背景下的IT治理</w:t>
      </w:r>
      <w:r>
        <w:rPr>
          <w:rFonts w:hint="eastAsia"/>
          <w:szCs w:val="24"/>
        </w:rPr>
        <w:t>。</w:t>
      </w:r>
    </w:p>
    <w:p>
      <w:pPr>
        <w:pStyle w:val="16"/>
        <w:spacing w:before="156" w:after="156"/>
        <w:outlineLvl w:val="1"/>
      </w:pPr>
      <w:bookmarkStart w:id="95" w:name="_Toc6550"/>
      <w:bookmarkStart w:id="96" w:name="_Toc13725"/>
      <w:r>
        <w:rPr>
          <w:rFonts w:hint="eastAsia"/>
          <w:lang w:val="en-US" w:eastAsia="zh-CN"/>
        </w:rPr>
        <w:t>可操作性</w:t>
      </w:r>
      <w:bookmarkEnd w:id="95"/>
      <w:bookmarkEnd w:id="96"/>
    </w:p>
    <w:p>
      <w:pPr>
        <w:pStyle w:val="15"/>
        <w:rPr>
          <w:rFonts w:hint="eastAsia"/>
        </w:rPr>
      </w:pPr>
      <w:r>
        <w:rPr>
          <w:rFonts w:hint="eastAsia" w:cs="Times New Roman"/>
          <w:szCs w:val="24"/>
          <w:lang w:val="en-US" w:eastAsia="zh-CN"/>
        </w:rPr>
        <w:t>可广泛适用各行业的工业企业</w:t>
      </w:r>
      <w:r>
        <w:rPr>
          <w:rFonts w:hint="eastAsia"/>
          <w:szCs w:val="24"/>
        </w:rPr>
        <w:t>。</w:t>
      </w:r>
      <w:r>
        <w:rPr>
          <w:rFonts w:hint="eastAsia"/>
          <w:szCs w:val="24"/>
          <w:lang w:val="en-US" w:eastAsia="zh-CN"/>
        </w:rPr>
        <w:t>评价</w:t>
      </w:r>
      <w:r>
        <w:rPr>
          <w:rFonts w:hint="eastAsia"/>
          <w:szCs w:val="24"/>
        </w:rPr>
        <w:t>指标宜易于选取，指标体系宜易于构建。</w:t>
      </w:r>
      <w:r>
        <w:rPr>
          <w:rFonts w:hint="eastAsia"/>
          <w:szCs w:val="24"/>
          <w:lang w:val="en-US" w:eastAsia="zh-CN"/>
        </w:rPr>
        <w:t>评价</w:t>
      </w:r>
      <w:r>
        <w:rPr>
          <w:rFonts w:hint="eastAsia"/>
          <w:szCs w:val="24"/>
        </w:rPr>
        <w:t>数据宜易采集、可分析。</w:t>
      </w:r>
      <w:r>
        <w:rPr>
          <w:rFonts w:hint="eastAsia"/>
          <w:szCs w:val="24"/>
          <w:lang w:val="en-US" w:eastAsia="zh-CN"/>
        </w:rPr>
        <w:t>评价</w:t>
      </w:r>
      <w:r>
        <w:rPr>
          <w:rFonts w:hint="eastAsia"/>
          <w:szCs w:val="24"/>
        </w:rPr>
        <w:t>方法宜便捷有效。</w:t>
      </w:r>
    </w:p>
    <w:p>
      <w:pPr>
        <w:pStyle w:val="16"/>
        <w:spacing w:before="156" w:after="156"/>
        <w:outlineLvl w:val="1"/>
      </w:pPr>
      <w:bookmarkStart w:id="97" w:name="_Toc11495"/>
      <w:bookmarkStart w:id="98" w:name="_Toc16486"/>
      <w:r>
        <w:rPr>
          <w:rFonts w:hint="eastAsia"/>
          <w:lang w:val="en-US" w:eastAsia="zh-CN"/>
        </w:rPr>
        <w:t>可扩展性</w:t>
      </w:r>
      <w:bookmarkEnd w:id="97"/>
      <w:bookmarkEnd w:id="98"/>
    </w:p>
    <w:p>
      <w:pPr>
        <w:pStyle w:val="15"/>
        <w:rPr>
          <w:rFonts w:hint="eastAsia"/>
          <w:szCs w:val="24"/>
        </w:rPr>
      </w:pPr>
      <w:r>
        <w:rPr>
          <w:rFonts w:hint="eastAsia"/>
          <w:szCs w:val="24"/>
        </w:rPr>
        <w:t>随着两化融合</w:t>
      </w:r>
      <w:r>
        <w:rPr>
          <w:rFonts w:hint="eastAsia"/>
          <w:szCs w:val="24"/>
          <w:lang w:eastAsia="zh-CN"/>
        </w:rPr>
        <w:t>的</w:t>
      </w:r>
      <w:r>
        <w:rPr>
          <w:rFonts w:hint="eastAsia"/>
          <w:szCs w:val="24"/>
        </w:rPr>
        <w:t>不断深入发展和</w:t>
      </w:r>
      <w:r>
        <w:rPr>
          <w:rFonts w:hint="eastAsia"/>
          <w:szCs w:val="24"/>
          <w:lang w:val="en-US" w:eastAsia="zh-CN"/>
        </w:rPr>
        <w:t>IT治理</w:t>
      </w:r>
      <w:r>
        <w:rPr>
          <w:rFonts w:hint="eastAsia"/>
          <w:szCs w:val="24"/>
        </w:rPr>
        <w:t>实践经验的不断丰富，应在总体框架相对稳定的前提下进行适时调整，实现不断优化和完善。</w:t>
      </w:r>
    </w:p>
    <w:p>
      <w:pPr>
        <w:pStyle w:val="14"/>
        <w:spacing w:before="312" w:after="312"/>
        <w:outlineLvl w:val="0"/>
        <w:rPr>
          <w:rFonts w:hint="eastAsia"/>
        </w:rPr>
      </w:pPr>
      <w:bookmarkStart w:id="99" w:name="_Toc24673"/>
      <w:bookmarkStart w:id="100" w:name="_Toc16587"/>
      <w:r>
        <w:rPr>
          <w:rFonts w:hint="eastAsia"/>
          <w:highlight w:val="none"/>
          <w:lang w:val="en-US" w:eastAsia="zh-CN"/>
        </w:rPr>
        <w:t>IT治理绩效评价框架</w:t>
      </w:r>
      <w:bookmarkEnd w:id="99"/>
      <w:bookmarkEnd w:id="100"/>
    </w:p>
    <w:p>
      <w:pPr>
        <w:pStyle w:val="16"/>
        <w:spacing w:before="156" w:after="156"/>
        <w:outlineLvl w:val="1"/>
      </w:pPr>
      <w:bookmarkStart w:id="101" w:name="_Toc1373"/>
      <w:bookmarkStart w:id="102" w:name="_Toc31560"/>
      <w:r>
        <w:rPr>
          <w:rFonts w:hint="eastAsia"/>
          <w:lang w:val="en-US" w:eastAsia="zh-CN"/>
        </w:rPr>
        <w:t>IT治理模型</w:t>
      </w:r>
      <w:bookmarkEnd w:id="101"/>
      <w:bookmarkEnd w:id="102"/>
    </w:p>
    <w:p>
      <w:pPr>
        <w:pStyle w:val="15"/>
        <w:rPr>
          <w:rFonts w:hint="default"/>
          <w:szCs w:val="24"/>
          <w:lang w:val="en-US" w:eastAsia="zh-CN"/>
        </w:rPr>
      </w:pPr>
      <w:bookmarkStart w:id="103" w:name="_Toc5214"/>
      <w:bookmarkStart w:id="104" w:name="_Toc30072"/>
      <w:bookmarkStart w:id="105" w:name="_Toc25278"/>
      <w:bookmarkStart w:id="106" w:name="_Toc29542"/>
      <w:bookmarkStart w:id="107" w:name="_Toc4467"/>
      <w:r>
        <w:rPr>
          <w:rFonts w:hint="eastAsia"/>
          <w:szCs w:val="24"/>
          <w:lang w:val="en-US" w:eastAsia="zh-CN"/>
        </w:rPr>
        <w:t>IT治理模型</w:t>
      </w:r>
      <w:bookmarkEnd w:id="103"/>
      <w:bookmarkEnd w:id="104"/>
      <w:bookmarkEnd w:id="105"/>
      <w:bookmarkEnd w:id="106"/>
      <w:bookmarkEnd w:id="107"/>
      <w:r>
        <w:rPr>
          <w:rFonts w:hint="eastAsia"/>
          <w:szCs w:val="24"/>
          <w:lang w:val="en-US" w:eastAsia="zh-CN"/>
        </w:rPr>
        <w:t>应满足GB/T 34960.1-2017中第5章的要求。</w:t>
      </w:r>
    </w:p>
    <w:p>
      <w:pPr>
        <w:pStyle w:val="16"/>
        <w:spacing w:before="156" w:after="156"/>
        <w:outlineLvl w:val="1"/>
      </w:pPr>
      <w:bookmarkStart w:id="108" w:name="_Toc32516"/>
      <w:bookmarkStart w:id="109" w:name="_Toc267"/>
      <w:r>
        <w:rPr>
          <w:rFonts w:hint="eastAsia"/>
          <w:lang w:val="en-US" w:eastAsia="zh-CN"/>
        </w:rPr>
        <w:t>治理要素</w:t>
      </w:r>
      <w:bookmarkEnd w:id="108"/>
      <w:bookmarkEnd w:id="109"/>
    </w:p>
    <w:p>
      <w:pPr>
        <w:pStyle w:val="17"/>
        <w:bidi w:val="0"/>
        <w:ind w:left="0" w:leftChars="0" w:firstLine="0" w:firstLineChars="0"/>
        <w:outlineLvl w:val="2"/>
        <w:rPr>
          <w:rFonts w:hint="eastAsia"/>
          <w:lang w:val="en-US" w:eastAsia="zh-CN"/>
        </w:rPr>
      </w:pPr>
      <w:r>
        <w:rPr>
          <w:rFonts w:hint="eastAsia"/>
          <w:lang w:val="en-US" w:eastAsia="zh-CN"/>
        </w:rPr>
        <w:t>IT治理框架</w:t>
      </w:r>
    </w:p>
    <w:p>
      <w:pPr>
        <w:pStyle w:val="15"/>
        <w:rPr>
          <w:rFonts w:hint="default"/>
          <w:lang w:val="en-US" w:eastAsia="zh-CN"/>
        </w:rPr>
      </w:pPr>
      <w:r>
        <w:rPr>
          <w:rFonts w:hint="eastAsia"/>
          <w:szCs w:val="24"/>
          <w:lang w:val="en-US" w:eastAsia="zh-CN"/>
        </w:rPr>
        <w:t>IT治理框架应满足GB/T 34960.1-2017中第6章的要求。</w:t>
      </w:r>
    </w:p>
    <w:p>
      <w:pPr>
        <w:pStyle w:val="17"/>
        <w:bidi w:val="0"/>
        <w:ind w:left="0" w:leftChars="0" w:firstLine="0" w:firstLineChars="0"/>
        <w:outlineLvl w:val="2"/>
        <w:rPr>
          <w:rFonts w:hint="eastAsia"/>
          <w:lang w:val="en-US" w:eastAsia="zh-CN"/>
        </w:rPr>
      </w:pPr>
      <w:r>
        <w:rPr>
          <w:rFonts w:hint="eastAsia"/>
          <w:lang w:val="en-US" w:eastAsia="zh-CN"/>
        </w:rPr>
        <w:t>顶层设计的治理</w:t>
      </w:r>
    </w:p>
    <w:p>
      <w:pPr>
        <w:pStyle w:val="3"/>
        <w:ind w:firstLine="420" w:firstLineChars="200"/>
        <w:jc w:val="both"/>
        <w:rPr>
          <w:rFonts w:hint="default"/>
          <w:lang w:val="en-US" w:eastAsia="zh-CN"/>
        </w:rPr>
      </w:pPr>
      <w:r>
        <w:rPr>
          <w:rFonts w:hint="eastAsia" w:ascii="宋体" w:hAnsi="宋体" w:eastAsia="宋体" w:cs="宋体"/>
          <w:spacing w:val="0"/>
          <w:kern w:val="2"/>
          <w:sz w:val="21"/>
          <w:szCs w:val="24"/>
          <w:lang w:val="en-US" w:eastAsia="zh-CN" w:bidi="ar-SA"/>
        </w:rPr>
        <w:t>顶层设计的治理应满</w:t>
      </w:r>
      <w:r>
        <w:rPr>
          <w:rFonts w:hint="eastAsia" w:ascii="宋体" w:hAnsi="Calibri" w:eastAsia="宋体" w:cs="Times New Roman"/>
          <w:spacing w:val="0"/>
          <w:sz w:val="21"/>
          <w:szCs w:val="24"/>
          <w:lang w:val="en-US" w:eastAsia="zh-CN" w:bidi="ar-SA"/>
        </w:rPr>
        <w:t>足GB/T 34960.1-2017中第7章的要求。</w:t>
      </w:r>
    </w:p>
    <w:p>
      <w:pPr>
        <w:pStyle w:val="17"/>
        <w:bidi w:val="0"/>
        <w:ind w:left="0" w:leftChars="0" w:firstLine="0" w:firstLineChars="0"/>
        <w:outlineLvl w:val="2"/>
        <w:rPr>
          <w:rFonts w:hint="eastAsia"/>
          <w:lang w:val="en-US" w:eastAsia="zh-CN"/>
        </w:rPr>
      </w:pPr>
      <w:r>
        <w:rPr>
          <w:rFonts w:hint="eastAsia"/>
          <w:lang w:val="en-US" w:eastAsia="zh-CN"/>
        </w:rPr>
        <w:t>管理体系的治理</w:t>
      </w:r>
    </w:p>
    <w:p>
      <w:pPr>
        <w:pStyle w:val="15"/>
        <w:rPr>
          <w:rFonts w:hint="eastAsia"/>
          <w:szCs w:val="24"/>
          <w:lang w:val="en-US" w:eastAsia="zh-CN"/>
        </w:rPr>
      </w:pPr>
      <w:r>
        <w:rPr>
          <w:rFonts w:hint="eastAsia"/>
          <w:szCs w:val="24"/>
          <w:lang w:val="en-US" w:eastAsia="zh-CN"/>
        </w:rPr>
        <w:t>管理体系的治理应</w:t>
      </w:r>
      <w:r>
        <w:rPr>
          <w:rFonts w:hint="eastAsia" w:ascii="宋体" w:hAnsi="宋体" w:eastAsia="宋体" w:cs="宋体"/>
          <w:spacing w:val="0"/>
          <w:kern w:val="2"/>
          <w:sz w:val="21"/>
          <w:szCs w:val="24"/>
          <w:lang w:val="en-US" w:eastAsia="zh-CN" w:bidi="ar-SA"/>
        </w:rPr>
        <w:t>满</w:t>
      </w:r>
      <w:r>
        <w:rPr>
          <w:rFonts w:hint="eastAsia" w:ascii="宋体" w:hAnsi="Calibri" w:eastAsia="宋体" w:cs="Times New Roman"/>
          <w:spacing w:val="0"/>
          <w:sz w:val="21"/>
          <w:szCs w:val="24"/>
          <w:lang w:val="en-US" w:eastAsia="zh-CN" w:bidi="ar-SA"/>
        </w:rPr>
        <w:t>足GB/T 34960.1-2017中第</w:t>
      </w:r>
      <w:r>
        <w:rPr>
          <w:rFonts w:hint="eastAsia" w:cs="Times New Roman"/>
          <w:spacing w:val="0"/>
          <w:sz w:val="21"/>
          <w:szCs w:val="24"/>
          <w:lang w:val="en-US" w:eastAsia="zh-CN" w:bidi="ar-SA"/>
        </w:rPr>
        <w:t>8</w:t>
      </w:r>
      <w:r>
        <w:rPr>
          <w:rFonts w:hint="eastAsia" w:ascii="宋体" w:hAnsi="Calibri" w:eastAsia="宋体" w:cs="Times New Roman"/>
          <w:spacing w:val="0"/>
          <w:sz w:val="21"/>
          <w:szCs w:val="24"/>
          <w:lang w:val="en-US" w:eastAsia="zh-CN" w:bidi="ar-SA"/>
        </w:rPr>
        <w:t>章的要求</w:t>
      </w:r>
      <w:r>
        <w:rPr>
          <w:rFonts w:hint="eastAsia"/>
          <w:szCs w:val="24"/>
          <w:lang w:val="en-US" w:eastAsia="zh-CN"/>
        </w:rPr>
        <w:t>。</w:t>
      </w:r>
    </w:p>
    <w:p>
      <w:pPr>
        <w:pStyle w:val="17"/>
        <w:bidi w:val="0"/>
        <w:ind w:left="0" w:leftChars="0" w:firstLine="0" w:firstLineChars="0"/>
        <w:outlineLvl w:val="2"/>
        <w:rPr>
          <w:rFonts w:hint="eastAsia"/>
          <w:lang w:val="en-US" w:eastAsia="zh-CN"/>
        </w:rPr>
      </w:pPr>
      <w:r>
        <w:rPr>
          <w:rFonts w:hint="eastAsia"/>
          <w:lang w:val="en-US" w:eastAsia="zh-CN"/>
        </w:rPr>
        <w:t>资源的治理</w:t>
      </w:r>
    </w:p>
    <w:p>
      <w:pPr>
        <w:pStyle w:val="3"/>
        <w:ind w:firstLine="420" w:firstLineChars="200"/>
        <w:jc w:val="both"/>
        <w:rPr>
          <w:rFonts w:hint="eastAsia" w:ascii="宋体" w:hAnsi="Calibri" w:eastAsia="宋体" w:cs="Times New Roman"/>
          <w:spacing w:val="0"/>
          <w:sz w:val="21"/>
          <w:szCs w:val="24"/>
          <w:lang w:val="en-US" w:eastAsia="zh-CN" w:bidi="ar-SA"/>
        </w:rPr>
      </w:pPr>
      <w:r>
        <w:rPr>
          <w:rFonts w:hint="eastAsia" w:ascii="宋体" w:hAnsi="Calibri" w:eastAsia="宋体" w:cs="Times New Roman"/>
          <w:spacing w:val="0"/>
          <w:sz w:val="21"/>
          <w:szCs w:val="24"/>
          <w:lang w:val="en-US" w:eastAsia="zh-CN" w:bidi="ar-SA"/>
        </w:rPr>
        <w:t>资源的治理应满足GB/T 34960.1-2017中第9章的要求。</w:t>
      </w:r>
    </w:p>
    <w:p>
      <w:pPr>
        <w:pStyle w:val="16"/>
        <w:spacing w:before="156" w:after="156"/>
        <w:outlineLvl w:val="1"/>
      </w:pPr>
      <w:bookmarkStart w:id="110" w:name="_Toc8655"/>
      <w:bookmarkStart w:id="111" w:name="_Toc22822"/>
      <w:r>
        <w:rPr>
          <w:rFonts w:hint="eastAsia"/>
          <w:lang w:val="en-US" w:eastAsia="zh-CN"/>
        </w:rPr>
        <w:t>评价要素</w:t>
      </w:r>
      <w:bookmarkEnd w:id="110"/>
      <w:bookmarkEnd w:id="111"/>
    </w:p>
    <w:p>
      <w:pPr>
        <w:pStyle w:val="3"/>
        <w:ind w:firstLine="420" w:firstLineChars="200"/>
        <w:jc w:val="both"/>
        <w:rPr>
          <w:rFonts w:hint="default" w:ascii="宋体" w:hAnsi="Calibri" w:eastAsia="宋体" w:cs="Times New Roman"/>
          <w:spacing w:val="0"/>
          <w:sz w:val="21"/>
          <w:szCs w:val="24"/>
          <w:lang w:val="en-US" w:eastAsia="zh-CN" w:bidi="ar-SA"/>
        </w:rPr>
      </w:pPr>
      <w:r>
        <w:rPr>
          <w:rFonts w:hint="eastAsia" w:ascii="宋体" w:hAnsi="Calibri" w:eastAsia="宋体" w:cs="Times New Roman"/>
          <w:spacing w:val="0"/>
          <w:sz w:val="21"/>
          <w:szCs w:val="24"/>
          <w:lang w:val="en-US" w:eastAsia="zh-CN" w:bidi="ar-SA"/>
        </w:rPr>
        <w:t>IT治理评价要素应满足GB/T 34960.3-2017中第6章的要求。</w:t>
      </w:r>
    </w:p>
    <w:p>
      <w:pPr>
        <w:pStyle w:val="16"/>
        <w:spacing w:before="156" w:after="156"/>
        <w:outlineLvl w:val="1"/>
      </w:pPr>
      <w:bookmarkStart w:id="112" w:name="_Toc24044"/>
      <w:bookmarkStart w:id="113" w:name="_Toc18699"/>
      <w:r>
        <w:rPr>
          <w:rFonts w:hint="eastAsia"/>
          <w:lang w:val="en-US" w:eastAsia="zh-CN"/>
        </w:rPr>
        <w:t>IT治理绩效评价模型</w:t>
      </w:r>
      <w:bookmarkEnd w:id="112"/>
      <w:bookmarkEnd w:id="113"/>
    </w:p>
    <w:p>
      <w:pPr>
        <w:pStyle w:val="15"/>
        <w:rPr>
          <w:rFonts w:hint="eastAsia" w:ascii="宋体" w:hAnsi="宋体" w:eastAsia="宋体" w:cs="宋体"/>
          <w:b w:val="0"/>
          <w:spacing w:val="0"/>
          <w:kern w:val="0"/>
          <w:sz w:val="21"/>
          <w:szCs w:val="21"/>
          <w:lang w:val="en-US" w:eastAsia="zh-CN" w:bidi="ar-SA"/>
        </w:rPr>
      </w:pPr>
      <w:r>
        <w:rPr>
          <w:rFonts w:hint="default" w:ascii="宋体" w:hAnsi="宋体" w:eastAsia="宋体" w:cs="宋体"/>
          <w:b w:val="0"/>
          <w:spacing w:val="0"/>
          <w:kern w:val="0"/>
          <w:sz w:val="21"/>
          <w:szCs w:val="21"/>
          <w:lang w:val="en-US" w:eastAsia="zh-CN" w:bidi="ar-SA"/>
        </w:rPr>
        <w:t>IT治理绩效评价模型</w:t>
      </w:r>
      <w:r>
        <w:rPr>
          <w:rFonts w:hint="eastAsia" w:ascii="宋体" w:hAnsi="Calibri" w:eastAsia="宋体" w:cs="Times New Roman"/>
          <w:spacing w:val="0"/>
          <w:sz w:val="21"/>
          <w:szCs w:val="24"/>
          <w:lang w:val="en-US" w:eastAsia="zh-CN" w:bidi="ar-SA"/>
        </w:rPr>
        <w:t>应满足GB/T 34960.3-2017中第</w:t>
      </w:r>
      <w:r>
        <w:rPr>
          <w:rFonts w:hint="eastAsia" w:cs="Times New Roman"/>
          <w:spacing w:val="0"/>
          <w:sz w:val="21"/>
          <w:szCs w:val="24"/>
          <w:lang w:val="en-US" w:eastAsia="zh-CN" w:bidi="ar-SA"/>
        </w:rPr>
        <w:t>4</w:t>
      </w:r>
      <w:r>
        <w:rPr>
          <w:rFonts w:hint="eastAsia" w:ascii="宋体" w:hAnsi="Calibri" w:eastAsia="宋体" w:cs="Times New Roman"/>
          <w:spacing w:val="0"/>
          <w:sz w:val="21"/>
          <w:szCs w:val="24"/>
          <w:lang w:val="en-US" w:eastAsia="zh-CN" w:bidi="ar-SA"/>
        </w:rPr>
        <w:t>章的要求</w:t>
      </w:r>
      <w:r>
        <w:rPr>
          <w:rFonts w:hint="eastAsia" w:ascii="宋体" w:hAnsi="宋体" w:eastAsia="宋体" w:cs="宋体"/>
          <w:b w:val="0"/>
          <w:spacing w:val="0"/>
          <w:kern w:val="0"/>
          <w:sz w:val="21"/>
          <w:szCs w:val="21"/>
          <w:lang w:val="en-US" w:eastAsia="zh-CN" w:bidi="ar-SA"/>
        </w:rPr>
        <w:t>。</w:t>
      </w:r>
    </w:p>
    <w:p>
      <w:pPr>
        <w:pStyle w:val="16"/>
        <w:spacing w:before="156" w:after="156"/>
        <w:outlineLvl w:val="1"/>
      </w:pPr>
      <w:bookmarkStart w:id="114" w:name="_Toc10216"/>
      <w:bookmarkStart w:id="115" w:name="_Toc3210"/>
      <w:r>
        <w:rPr>
          <w:rFonts w:hint="eastAsia"/>
          <w:lang w:val="en-US" w:eastAsia="zh-CN"/>
        </w:rPr>
        <w:t>绩效指标</w:t>
      </w:r>
      <w:bookmarkEnd w:id="114"/>
      <w:bookmarkEnd w:id="115"/>
    </w:p>
    <w:p>
      <w:pPr>
        <w:pStyle w:val="15"/>
        <w:rPr>
          <w:rFonts w:hint="eastAsia" w:ascii="宋体" w:hAnsi="宋体" w:eastAsia="宋体" w:cs="宋体"/>
          <w:b w:val="0"/>
          <w:spacing w:val="0"/>
          <w:kern w:val="0"/>
          <w:sz w:val="21"/>
          <w:szCs w:val="21"/>
          <w:lang w:val="en-US" w:eastAsia="zh-CN" w:bidi="ar-SA"/>
        </w:rPr>
      </w:pPr>
      <w:bookmarkStart w:id="116" w:name="_Toc28886"/>
      <w:bookmarkStart w:id="117" w:name="_Toc17253"/>
      <w:bookmarkStart w:id="118" w:name="_Toc14917"/>
      <w:bookmarkStart w:id="119" w:name="_Toc15736"/>
      <w:r>
        <w:rPr>
          <w:rFonts w:hint="eastAsia" w:ascii="宋体" w:hAnsi="宋体" w:eastAsia="宋体" w:cs="宋体"/>
          <w:b w:val="0"/>
          <w:spacing w:val="0"/>
          <w:kern w:val="0"/>
          <w:sz w:val="21"/>
          <w:szCs w:val="21"/>
          <w:lang w:val="en-US" w:eastAsia="zh-CN" w:bidi="ar-SA"/>
        </w:rPr>
        <w:t>IT治理绩效指标应以促进组织的两化融合深入发展为目的，绩效指标包括两化融合水平与能力、两化融合效能与效益两个部分。两化融合水平与能力包括基础建设、单项应用、综合集成、协同与创新等四个主要方面。两化融合效能与效益包括竞争力、经济和社会效益等两个主要方面。绩效指标的构建参考GB/T 23020-2013，实施IT治理对绩效指标的提升程度是对治理要素及相关评价要素的评分依据。</w:t>
      </w:r>
      <w:bookmarkEnd w:id="116"/>
      <w:bookmarkEnd w:id="117"/>
      <w:bookmarkEnd w:id="118"/>
      <w:bookmarkEnd w:id="119"/>
    </w:p>
    <w:p>
      <w:pPr>
        <w:pStyle w:val="14"/>
        <w:spacing w:before="312" w:after="312"/>
        <w:outlineLvl w:val="0"/>
        <w:rPr>
          <w:rFonts w:hint="default"/>
          <w:highlight w:val="none"/>
          <w:lang w:val="en-US" w:eastAsia="zh-CN"/>
        </w:rPr>
      </w:pPr>
      <w:bookmarkStart w:id="120" w:name="_Toc31248"/>
      <w:r>
        <w:rPr>
          <w:rFonts w:hint="eastAsia"/>
          <w:highlight w:val="none"/>
          <w:lang w:val="en-US" w:eastAsia="zh-CN"/>
        </w:rPr>
        <w:t>IT治理绩效评价</w:t>
      </w:r>
      <w:bookmarkEnd w:id="120"/>
      <w:r>
        <w:rPr>
          <w:rFonts w:hint="eastAsia"/>
          <w:highlight w:val="none"/>
          <w:lang w:val="en-US" w:eastAsia="zh-CN"/>
        </w:rPr>
        <w:t>程序</w:t>
      </w:r>
    </w:p>
    <w:p>
      <w:pPr>
        <w:pStyle w:val="16"/>
        <w:spacing w:before="156" w:after="156"/>
        <w:outlineLvl w:val="1"/>
        <w:rPr>
          <w:rFonts w:hint="default"/>
          <w:lang w:val="en-US" w:eastAsia="zh-CN"/>
        </w:rPr>
      </w:pPr>
      <w:bookmarkStart w:id="121" w:name="_Toc12811"/>
      <w:r>
        <w:rPr>
          <w:rFonts w:hint="eastAsia"/>
          <w:lang w:val="en-US" w:eastAsia="zh-CN"/>
        </w:rPr>
        <w:t>明确目标和范围</w:t>
      </w:r>
      <w:bookmarkEnd w:id="121"/>
    </w:p>
    <w:p>
      <w:pPr>
        <w:pStyle w:val="15"/>
        <w:rPr>
          <w:rFonts w:hint="eastAsia" w:ascii="宋体" w:hAnsi="Calibri" w:eastAsia="宋体" w:cs="Times New Roman"/>
          <w:spacing w:val="0"/>
          <w:sz w:val="21"/>
          <w:szCs w:val="24"/>
          <w:lang w:val="en-US" w:eastAsia="zh-CN" w:bidi="ar-SA"/>
        </w:rPr>
      </w:pPr>
      <w:r>
        <w:rPr>
          <w:rFonts w:hint="eastAsia"/>
          <w:lang w:val="en-US" w:eastAsia="zh-CN"/>
        </w:rPr>
        <w:t>IT治理绩效评价的目标和范围应满足</w:t>
      </w:r>
      <w:r>
        <w:rPr>
          <w:rFonts w:hint="eastAsia" w:ascii="宋体" w:hAnsi="Calibri" w:eastAsia="宋体" w:cs="Times New Roman"/>
          <w:spacing w:val="0"/>
          <w:sz w:val="21"/>
          <w:szCs w:val="24"/>
          <w:lang w:val="en-US" w:eastAsia="zh-CN" w:bidi="ar-SA"/>
        </w:rPr>
        <w:t>GB/T 34960.</w:t>
      </w:r>
      <w:r>
        <w:rPr>
          <w:rFonts w:hint="eastAsia" w:cs="Times New Roman"/>
          <w:spacing w:val="0"/>
          <w:sz w:val="21"/>
          <w:szCs w:val="24"/>
          <w:lang w:val="en-US" w:eastAsia="zh-CN" w:bidi="ar-SA"/>
        </w:rPr>
        <w:t>3</w:t>
      </w:r>
      <w:r>
        <w:rPr>
          <w:rFonts w:hint="eastAsia" w:ascii="宋体" w:hAnsi="Calibri" w:eastAsia="宋体" w:cs="Times New Roman"/>
          <w:spacing w:val="0"/>
          <w:sz w:val="21"/>
          <w:szCs w:val="24"/>
          <w:lang w:val="en-US" w:eastAsia="zh-CN" w:bidi="ar-SA"/>
        </w:rPr>
        <w:t>-2017中</w:t>
      </w:r>
      <w:r>
        <w:rPr>
          <w:rFonts w:hint="eastAsia" w:cs="Times New Roman"/>
          <w:spacing w:val="0"/>
          <w:sz w:val="21"/>
          <w:szCs w:val="24"/>
          <w:lang w:val="en-US" w:eastAsia="zh-CN" w:bidi="ar-SA"/>
        </w:rPr>
        <w:t>7.1</w:t>
      </w:r>
      <w:r>
        <w:rPr>
          <w:rFonts w:hint="eastAsia" w:ascii="宋体" w:hAnsi="Calibri" w:eastAsia="宋体" w:cs="Times New Roman"/>
          <w:spacing w:val="0"/>
          <w:sz w:val="21"/>
          <w:szCs w:val="24"/>
          <w:lang w:val="en-US" w:eastAsia="zh-CN" w:bidi="ar-SA"/>
        </w:rPr>
        <w:t>的要求。</w:t>
      </w:r>
    </w:p>
    <w:p>
      <w:pPr>
        <w:pStyle w:val="16"/>
        <w:spacing w:before="156" w:after="156"/>
        <w:outlineLvl w:val="1"/>
        <w:rPr>
          <w:rFonts w:hint="default"/>
          <w:lang w:val="en-US" w:eastAsia="zh-CN"/>
        </w:rPr>
      </w:pPr>
      <w:bookmarkStart w:id="122" w:name="_Toc20145"/>
      <w:r>
        <w:rPr>
          <w:rFonts w:hint="eastAsia"/>
          <w:lang w:val="en-US" w:eastAsia="zh-CN"/>
        </w:rPr>
        <w:t>定义治理要素和评价要素</w:t>
      </w:r>
      <w:bookmarkEnd w:id="122"/>
    </w:p>
    <w:p>
      <w:pPr>
        <w:pStyle w:val="15"/>
        <w:rPr>
          <w:rFonts w:hint="eastAsia" w:ascii="宋体" w:hAnsi="Calibri" w:eastAsia="宋体" w:cs="Times New Roman"/>
          <w:spacing w:val="0"/>
          <w:sz w:val="21"/>
          <w:szCs w:val="24"/>
          <w:lang w:val="en-US" w:eastAsia="zh-CN" w:bidi="ar-SA"/>
        </w:rPr>
      </w:pPr>
      <w:r>
        <w:rPr>
          <w:rFonts w:hint="eastAsia"/>
          <w:lang w:val="en-US" w:eastAsia="zh-CN"/>
        </w:rPr>
        <w:t>治理要素和评价要素应满足</w:t>
      </w:r>
      <w:r>
        <w:rPr>
          <w:rFonts w:hint="eastAsia" w:ascii="宋体" w:hAnsi="Calibri" w:eastAsia="宋体" w:cs="Times New Roman"/>
          <w:spacing w:val="0"/>
          <w:sz w:val="21"/>
          <w:szCs w:val="24"/>
          <w:lang w:val="en-US" w:eastAsia="zh-CN" w:bidi="ar-SA"/>
        </w:rPr>
        <w:t>GB/T 34960.</w:t>
      </w:r>
      <w:r>
        <w:rPr>
          <w:rFonts w:hint="eastAsia" w:cs="Times New Roman"/>
          <w:spacing w:val="0"/>
          <w:sz w:val="21"/>
          <w:szCs w:val="24"/>
          <w:lang w:val="en-US" w:eastAsia="zh-CN" w:bidi="ar-SA"/>
        </w:rPr>
        <w:t>3</w:t>
      </w:r>
      <w:r>
        <w:rPr>
          <w:rFonts w:hint="eastAsia" w:ascii="宋体" w:hAnsi="Calibri" w:eastAsia="宋体" w:cs="Times New Roman"/>
          <w:spacing w:val="0"/>
          <w:sz w:val="21"/>
          <w:szCs w:val="24"/>
          <w:lang w:val="en-US" w:eastAsia="zh-CN" w:bidi="ar-SA"/>
        </w:rPr>
        <w:t>-2017中</w:t>
      </w:r>
      <w:r>
        <w:rPr>
          <w:rFonts w:hint="eastAsia" w:cs="Times New Roman"/>
          <w:spacing w:val="0"/>
          <w:sz w:val="21"/>
          <w:szCs w:val="24"/>
          <w:lang w:val="en-US" w:eastAsia="zh-CN" w:bidi="ar-SA"/>
        </w:rPr>
        <w:t>7.2</w:t>
      </w:r>
      <w:r>
        <w:rPr>
          <w:rFonts w:hint="eastAsia" w:ascii="宋体" w:hAnsi="Calibri" w:eastAsia="宋体" w:cs="Times New Roman"/>
          <w:spacing w:val="0"/>
          <w:sz w:val="21"/>
          <w:szCs w:val="24"/>
          <w:lang w:val="en-US" w:eastAsia="zh-CN" w:bidi="ar-SA"/>
        </w:rPr>
        <w:t>的要求。</w:t>
      </w:r>
    </w:p>
    <w:p>
      <w:pPr>
        <w:pStyle w:val="16"/>
        <w:spacing w:before="156" w:after="156"/>
        <w:outlineLvl w:val="1"/>
        <w:rPr>
          <w:rFonts w:hint="default"/>
          <w:lang w:val="en-US" w:eastAsia="zh-CN"/>
        </w:rPr>
      </w:pPr>
      <w:bookmarkStart w:id="123" w:name="_Toc31532"/>
      <w:r>
        <w:rPr>
          <w:rFonts w:hint="eastAsia"/>
          <w:lang w:val="en-US" w:eastAsia="zh-CN"/>
        </w:rPr>
        <w:t>设计指标体系</w:t>
      </w:r>
      <w:bookmarkEnd w:id="123"/>
    </w:p>
    <w:p>
      <w:pPr>
        <w:pStyle w:val="15"/>
        <w:rPr>
          <w:rFonts w:hint="eastAsia" w:cs="Times New Roman"/>
          <w:spacing w:val="0"/>
          <w:sz w:val="21"/>
          <w:szCs w:val="24"/>
          <w:lang w:val="en-US" w:eastAsia="zh-CN" w:bidi="ar-SA"/>
        </w:rPr>
      </w:pPr>
      <w:r>
        <w:rPr>
          <w:rFonts w:hint="eastAsia"/>
          <w:lang w:val="en-US" w:eastAsia="zh-CN"/>
        </w:rPr>
        <w:t>设计指标体系应满足</w:t>
      </w:r>
      <w:r>
        <w:rPr>
          <w:rFonts w:hint="eastAsia" w:ascii="宋体" w:hAnsi="Calibri" w:eastAsia="宋体" w:cs="Times New Roman"/>
          <w:spacing w:val="0"/>
          <w:sz w:val="21"/>
          <w:szCs w:val="24"/>
          <w:lang w:val="en-US" w:eastAsia="zh-CN" w:bidi="ar-SA"/>
        </w:rPr>
        <w:t>GB/T 34960.</w:t>
      </w:r>
      <w:r>
        <w:rPr>
          <w:rFonts w:hint="eastAsia" w:cs="Times New Roman"/>
          <w:spacing w:val="0"/>
          <w:sz w:val="21"/>
          <w:szCs w:val="24"/>
          <w:lang w:val="en-US" w:eastAsia="zh-CN" w:bidi="ar-SA"/>
        </w:rPr>
        <w:t>3</w:t>
      </w:r>
      <w:r>
        <w:rPr>
          <w:rFonts w:hint="eastAsia" w:ascii="宋体" w:hAnsi="Calibri" w:eastAsia="宋体" w:cs="Times New Roman"/>
          <w:spacing w:val="0"/>
          <w:sz w:val="21"/>
          <w:szCs w:val="24"/>
          <w:lang w:val="en-US" w:eastAsia="zh-CN" w:bidi="ar-SA"/>
        </w:rPr>
        <w:t>-2017中</w:t>
      </w:r>
      <w:r>
        <w:rPr>
          <w:rFonts w:hint="eastAsia" w:cs="Times New Roman"/>
          <w:spacing w:val="0"/>
          <w:sz w:val="21"/>
          <w:szCs w:val="24"/>
          <w:lang w:val="en-US" w:eastAsia="zh-CN" w:bidi="ar-SA"/>
        </w:rPr>
        <w:t>7.3</w:t>
      </w:r>
      <w:r>
        <w:rPr>
          <w:rFonts w:hint="eastAsia" w:ascii="宋体" w:hAnsi="Calibri" w:eastAsia="宋体" w:cs="Times New Roman"/>
          <w:spacing w:val="0"/>
          <w:sz w:val="21"/>
          <w:szCs w:val="24"/>
          <w:lang w:val="en-US" w:eastAsia="zh-CN" w:bidi="ar-SA"/>
        </w:rPr>
        <w:t>的要求</w:t>
      </w:r>
      <w:r>
        <w:rPr>
          <w:rFonts w:hint="eastAsia" w:cs="Times New Roman"/>
          <w:spacing w:val="0"/>
          <w:sz w:val="21"/>
          <w:szCs w:val="24"/>
          <w:lang w:val="en-US" w:eastAsia="zh-CN" w:bidi="ar-SA"/>
        </w:rPr>
        <w:t>。</w:t>
      </w:r>
    </w:p>
    <w:p>
      <w:pPr>
        <w:pStyle w:val="16"/>
        <w:spacing w:before="156" w:after="156"/>
        <w:outlineLvl w:val="1"/>
        <w:rPr>
          <w:rFonts w:hint="default"/>
          <w:lang w:val="en-US" w:eastAsia="zh-CN"/>
        </w:rPr>
      </w:pPr>
      <w:bookmarkStart w:id="124" w:name="_Toc15844"/>
      <w:r>
        <w:rPr>
          <w:rFonts w:hint="eastAsia"/>
          <w:lang w:val="en-US" w:eastAsia="zh-CN"/>
        </w:rPr>
        <w:t>定义权重</w:t>
      </w:r>
      <w:bookmarkEnd w:id="124"/>
    </w:p>
    <w:p>
      <w:pPr>
        <w:pStyle w:val="15"/>
        <w:rPr>
          <w:rFonts w:hint="eastAsia"/>
          <w:lang w:val="en-US" w:eastAsia="zh-CN"/>
        </w:rPr>
      </w:pPr>
      <w:r>
        <w:rPr>
          <w:rFonts w:hint="eastAsia"/>
          <w:lang w:val="en-US" w:eastAsia="zh-CN"/>
        </w:rPr>
        <w:t>可采用主次指标排队分类法、层次分析法、德尔菲法、网络分析法等方法定义评价要素和对应的评价子要素的权重。权重的定义需基于组织现阶段发展需求、未来发展方向和重点，考虑评价要素和评价子要素对促进组织</w:t>
      </w:r>
      <w:r>
        <w:rPr>
          <w:rFonts w:hint="eastAsia" w:ascii="宋体" w:hAnsi="宋体" w:eastAsia="宋体" w:cs="宋体"/>
          <w:b w:val="0"/>
          <w:spacing w:val="0"/>
          <w:kern w:val="0"/>
          <w:sz w:val="21"/>
          <w:szCs w:val="21"/>
          <w:lang w:val="en-US" w:eastAsia="zh-CN" w:bidi="ar-SA"/>
        </w:rPr>
        <w:t>两化融合水平与能力、两化融合效能与效益</w:t>
      </w:r>
      <w:r>
        <w:rPr>
          <w:rFonts w:hint="eastAsia" w:hAnsi="宋体" w:cs="宋体"/>
          <w:b w:val="0"/>
          <w:spacing w:val="0"/>
          <w:kern w:val="0"/>
          <w:sz w:val="21"/>
          <w:szCs w:val="21"/>
          <w:lang w:val="en-US" w:eastAsia="zh-CN" w:bidi="ar-SA"/>
        </w:rPr>
        <w:t>的相对重要程度。定义各类组织的</w:t>
      </w:r>
      <w:r>
        <w:rPr>
          <w:rFonts w:hint="eastAsia"/>
          <w:lang w:val="en-US" w:eastAsia="zh-CN"/>
        </w:rPr>
        <w:t>评价要素和评价子要素宜遵循以下原则：</w:t>
      </w:r>
    </w:p>
    <w:p>
      <w:pPr>
        <w:widowControl w:val="0"/>
        <w:numPr>
          <w:ilvl w:val="0"/>
          <w:numId w:val="4"/>
        </w:numPr>
        <w:autoSpaceDE/>
        <w:autoSpaceDN/>
        <w:ind w:left="840" w:leftChars="200" w:hanging="420" w:hangingChars="200"/>
        <w:rPr>
          <w:rFonts w:hint="eastAsia" w:ascii="宋体" w:hAnsi="宋体" w:cs="宋体"/>
          <w:lang w:val="en-US" w:eastAsia="zh-CN"/>
        </w:rPr>
      </w:pPr>
      <w:r>
        <w:rPr>
          <w:rFonts w:hint="eastAsia" w:ascii="宋体" w:hAnsi="宋体" w:cs="宋体"/>
          <w:lang w:val="en-US" w:eastAsia="zh-CN"/>
        </w:rPr>
        <w:t>同类型组织的评价要素权重原则上一致；</w:t>
      </w:r>
    </w:p>
    <w:p>
      <w:pPr>
        <w:widowControl w:val="0"/>
        <w:numPr>
          <w:ilvl w:val="0"/>
          <w:numId w:val="4"/>
        </w:numPr>
        <w:autoSpaceDE/>
        <w:autoSpaceDN/>
        <w:ind w:left="840" w:leftChars="200" w:hanging="420" w:hangingChars="200"/>
        <w:rPr>
          <w:rFonts w:hint="eastAsia" w:ascii="宋体" w:hAnsi="宋体" w:cs="宋体"/>
          <w:lang w:val="en-US" w:eastAsia="zh-CN"/>
        </w:rPr>
      </w:pPr>
      <w:r>
        <w:rPr>
          <w:rFonts w:hint="eastAsia" w:ascii="宋体" w:hAnsi="宋体" w:cs="宋体"/>
          <w:lang w:val="en-US" w:eastAsia="zh-CN"/>
        </w:rPr>
        <w:t>各评价子要素的权重结合组织自身特点赋值，例如创新发展需求不大的组织可将相应的评价子要素平均赋值，制造类组织业务交付的权重原则上高于资源优化的权重；</w:t>
      </w:r>
    </w:p>
    <w:p>
      <w:pPr>
        <w:widowControl w:val="0"/>
        <w:numPr>
          <w:ilvl w:val="0"/>
          <w:numId w:val="4"/>
        </w:numPr>
        <w:autoSpaceDE/>
        <w:autoSpaceDN/>
        <w:ind w:left="840" w:leftChars="200" w:hanging="420" w:hangingChars="200"/>
        <w:rPr>
          <w:rFonts w:hint="eastAsia" w:ascii="宋体" w:hAnsi="宋体" w:cs="宋体"/>
          <w:lang w:val="en-US" w:eastAsia="zh-CN"/>
        </w:rPr>
      </w:pPr>
      <w:r>
        <w:rPr>
          <w:rFonts w:hint="eastAsia" w:ascii="宋体" w:hAnsi="宋体" w:cs="宋体"/>
          <w:lang w:val="en-US" w:eastAsia="zh-CN"/>
        </w:rPr>
        <w:t>制造类组织评价要素的权重赋值侧重顺序由高到低依次为价值创建、客户服务、过程优化、创新发展；</w:t>
      </w:r>
    </w:p>
    <w:p>
      <w:pPr>
        <w:widowControl w:val="0"/>
        <w:numPr>
          <w:ilvl w:val="0"/>
          <w:numId w:val="4"/>
        </w:numPr>
        <w:autoSpaceDE/>
        <w:autoSpaceDN/>
        <w:ind w:left="840" w:leftChars="200" w:hanging="420" w:hangingChars="200"/>
        <w:rPr>
          <w:rFonts w:hint="eastAsia" w:ascii="宋体" w:hAnsi="宋体" w:cs="宋体"/>
          <w:lang w:val="en-US" w:eastAsia="zh-CN"/>
        </w:rPr>
      </w:pPr>
      <w:r>
        <w:rPr>
          <w:rFonts w:hint="eastAsia" w:ascii="宋体" w:hAnsi="宋体" w:cs="宋体"/>
          <w:lang w:val="en-US" w:eastAsia="zh-CN"/>
        </w:rPr>
        <w:t>服务类组织评价要素的权重赋值侧重顺序由高到低依次为客户服务、过程优化、价值创建、创新发展；</w:t>
      </w:r>
    </w:p>
    <w:p>
      <w:pPr>
        <w:widowControl w:val="0"/>
        <w:numPr>
          <w:ilvl w:val="0"/>
          <w:numId w:val="4"/>
        </w:numPr>
        <w:autoSpaceDE/>
        <w:autoSpaceDN/>
        <w:ind w:left="840" w:leftChars="200" w:hanging="420" w:hangingChars="200"/>
        <w:rPr>
          <w:rFonts w:hint="eastAsia" w:ascii="宋体" w:hAnsi="宋体" w:cs="宋体"/>
          <w:lang w:val="en-US" w:eastAsia="zh-CN"/>
        </w:rPr>
      </w:pPr>
      <w:r>
        <w:rPr>
          <w:rFonts w:hint="eastAsia" w:ascii="宋体" w:hAnsi="宋体" w:cs="宋体"/>
          <w:lang w:val="en-US" w:eastAsia="zh-CN"/>
        </w:rPr>
        <w:t>商贸类组织评价要素的权重赋值侧重顺序由高到低依次为过程优化、客户服务、价值创建、创新发展；</w:t>
      </w:r>
    </w:p>
    <w:p>
      <w:pPr>
        <w:widowControl w:val="0"/>
        <w:numPr>
          <w:ilvl w:val="0"/>
          <w:numId w:val="4"/>
        </w:numPr>
        <w:autoSpaceDE/>
        <w:autoSpaceDN/>
        <w:ind w:left="840" w:leftChars="200" w:hanging="420" w:hangingChars="200"/>
        <w:rPr>
          <w:rFonts w:hint="eastAsia" w:ascii="宋体" w:hAnsi="宋体" w:cs="宋体"/>
          <w:lang w:val="en-US" w:eastAsia="zh-CN"/>
        </w:rPr>
      </w:pPr>
      <w:r>
        <w:rPr>
          <w:rFonts w:hint="eastAsia" w:ascii="宋体" w:hAnsi="宋体" w:cs="宋体"/>
          <w:lang w:val="en-US" w:eastAsia="zh-CN"/>
        </w:rPr>
        <w:t>科研类组织评价要素的权重赋值侧重顺序由高到低依次为创新发展、客户服务、过程优化、价值创建；</w:t>
      </w:r>
    </w:p>
    <w:p>
      <w:pPr>
        <w:widowControl w:val="0"/>
        <w:numPr>
          <w:ilvl w:val="0"/>
          <w:numId w:val="4"/>
        </w:numPr>
        <w:autoSpaceDE/>
        <w:autoSpaceDN/>
        <w:ind w:left="840" w:leftChars="200" w:hanging="420" w:hangingChars="200"/>
        <w:rPr>
          <w:rFonts w:hint="eastAsia" w:cs="Times New Roman"/>
          <w:spacing w:val="0"/>
          <w:sz w:val="21"/>
          <w:szCs w:val="24"/>
          <w:lang w:val="en-US" w:eastAsia="zh-CN" w:bidi="ar-SA"/>
        </w:rPr>
      </w:pPr>
      <w:r>
        <w:rPr>
          <w:rFonts w:hint="eastAsia" w:ascii="宋体" w:hAnsi="宋体" w:cs="宋体"/>
          <w:lang w:val="en-US" w:eastAsia="zh-CN"/>
        </w:rPr>
        <w:t>软件和信息技术类组织评价要素的权重赋值侧重顺序由高到低依次为价值创建、创新发展、客户服务、过程优化。</w:t>
      </w:r>
    </w:p>
    <w:p>
      <w:pPr>
        <w:pStyle w:val="16"/>
        <w:spacing w:before="156" w:after="156"/>
        <w:outlineLvl w:val="1"/>
        <w:rPr>
          <w:rFonts w:hint="default"/>
          <w:lang w:val="en-US" w:eastAsia="zh-CN"/>
        </w:rPr>
      </w:pPr>
      <w:bookmarkStart w:id="125" w:name="_Toc28401"/>
      <w:r>
        <w:rPr>
          <w:rFonts w:hint="eastAsia"/>
          <w:lang w:val="en-US" w:eastAsia="zh-CN"/>
        </w:rPr>
        <w:t>成熟度及绩效评价</w:t>
      </w:r>
      <w:bookmarkEnd w:id="125"/>
    </w:p>
    <w:p>
      <w:pPr>
        <w:pStyle w:val="17"/>
        <w:bidi w:val="0"/>
        <w:rPr>
          <w:rFonts w:hint="default"/>
          <w:lang w:val="en-US" w:eastAsia="zh-CN"/>
        </w:rPr>
      </w:pPr>
      <w:r>
        <w:rPr>
          <w:rFonts w:hint="eastAsia"/>
          <w:lang w:val="en-US" w:eastAsia="zh-CN"/>
        </w:rPr>
        <w:t>IT治理评价要素成熟度</w:t>
      </w:r>
    </w:p>
    <w:p>
      <w:pPr>
        <w:pStyle w:val="18"/>
        <w:bidi w:val="0"/>
        <w:rPr>
          <w:rFonts w:hint="default"/>
          <w:lang w:val="en-US" w:eastAsia="zh-CN"/>
        </w:rPr>
      </w:pPr>
      <w:r>
        <w:rPr>
          <w:rFonts w:hint="eastAsia"/>
          <w:lang w:val="en-US" w:eastAsia="zh-CN"/>
        </w:rPr>
        <w:t>IT治理评价要素成熟度评分说明</w:t>
      </w:r>
    </w:p>
    <w:p>
      <w:pPr>
        <w:ind w:firstLine="420" w:firstLineChars="200"/>
        <w:rPr>
          <w:rFonts w:hint="eastAsia" w:ascii="宋体" w:hAnsi="宋体" w:cs="宋体"/>
        </w:rPr>
      </w:pPr>
      <w:r>
        <w:rPr>
          <w:rFonts w:hint="eastAsia" w:ascii="宋体" w:hAnsi="宋体" w:cs="宋体"/>
        </w:rPr>
        <w:t>IT治理</w:t>
      </w:r>
      <w:r>
        <w:rPr>
          <w:rFonts w:hint="eastAsia" w:ascii="宋体" w:hAnsi="宋体" w:cs="宋体"/>
          <w:lang w:val="en-US" w:eastAsia="zh-CN"/>
        </w:rPr>
        <w:t>评价要素</w:t>
      </w:r>
      <w:r>
        <w:rPr>
          <w:rFonts w:hint="eastAsia" w:ascii="宋体" w:hAnsi="宋体" w:cs="宋体"/>
        </w:rPr>
        <w:t>成熟度用于评价组织的IT治理</w:t>
      </w:r>
      <w:r>
        <w:rPr>
          <w:rFonts w:hint="eastAsia" w:ascii="宋体" w:hAnsi="宋体" w:cs="宋体"/>
          <w:lang w:val="en-US" w:eastAsia="zh-CN"/>
        </w:rPr>
        <w:t>成熟度，</w:t>
      </w:r>
      <w:r>
        <w:rPr>
          <w:rFonts w:hint="eastAsia" w:ascii="宋体" w:hAnsi="宋体" w:cs="宋体"/>
        </w:rPr>
        <w:t>IT</w:t>
      </w:r>
      <w:r>
        <w:rPr>
          <w:rFonts w:hint="eastAsia" w:ascii="宋体" w:hAnsi="宋体" w:cs="宋体"/>
          <w:lang w:val="en-US" w:eastAsia="zh-CN"/>
        </w:rPr>
        <w:t>治理评价要素</w:t>
      </w:r>
      <w:r>
        <w:rPr>
          <w:rFonts w:hint="eastAsia" w:ascii="宋体" w:hAnsi="宋体" w:cs="宋体"/>
        </w:rPr>
        <w:t>成熟度分为5个等级，每一个等级都是进行下一个等级的基础：</w:t>
      </w:r>
    </w:p>
    <w:p>
      <w:pPr>
        <w:ind w:firstLine="420" w:firstLineChars="200"/>
        <w:rPr>
          <w:rFonts w:hint="eastAsia" w:ascii="宋体" w:hAnsi="宋体" w:cs="宋体"/>
        </w:rPr>
      </w:pPr>
      <w:r>
        <w:rPr>
          <w:rFonts w:hint="eastAsia" w:ascii="宋体" w:hAnsi="宋体" w:cs="宋体"/>
          <w:lang w:eastAsia="zh-CN"/>
        </w:rPr>
        <w:t>——</w:t>
      </w:r>
      <w:r>
        <w:rPr>
          <w:rFonts w:hint="eastAsia" w:ascii="宋体" w:hAnsi="宋体" w:cs="宋体"/>
        </w:rPr>
        <w:t>第1级</w:t>
      </w:r>
      <w:r>
        <w:rPr>
          <w:rFonts w:hint="eastAsia" w:ascii="宋体" w:hAnsi="宋体" w:cs="宋体"/>
        </w:rPr>
        <w:tab/>
      </w:r>
      <w:r>
        <w:rPr>
          <w:rFonts w:hint="eastAsia" w:ascii="宋体" w:hAnsi="宋体" w:cs="宋体"/>
        </w:rPr>
        <w:t>初始级；</w:t>
      </w:r>
    </w:p>
    <w:p>
      <w:pPr>
        <w:ind w:firstLine="420" w:firstLineChars="200"/>
        <w:rPr>
          <w:rFonts w:hint="eastAsia" w:ascii="宋体" w:hAnsi="宋体" w:cs="宋体"/>
        </w:rPr>
      </w:pPr>
      <w:r>
        <w:rPr>
          <w:rFonts w:hint="eastAsia" w:ascii="宋体" w:hAnsi="宋体" w:cs="宋体"/>
          <w:lang w:eastAsia="zh-CN"/>
        </w:rPr>
        <w:t>——</w:t>
      </w:r>
      <w:r>
        <w:rPr>
          <w:rFonts w:hint="eastAsia" w:ascii="宋体" w:hAnsi="宋体" w:cs="宋体"/>
        </w:rPr>
        <w:t>第2级</w:t>
      </w:r>
      <w:r>
        <w:rPr>
          <w:rFonts w:hint="eastAsia" w:ascii="宋体" w:hAnsi="宋体" w:cs="宋体"/>
        </w:rPr>
        <w:tab/>
      </w:r>
      <w:r>
        <w:rPr>
          <w:rFonts w:hint="eastAsia" w:ascii="宋体" w:hAnsi="宋体" w:cs="宋体"/>
        </w:rPr>
        <w:t>经验级；</w:t>
      </w:r>
    </w:p>
    <w:p>
      <w:pPr>
        <w:ind w:firstLine="420" w:firstLineChars="200"/>
        <w:rPr>
          <w:rFonts w:hint="eastAsia" w:ascii="宋体" w:hAnsi="宋体" w:cs="宋体"/>
        </w:rPr>
      </w:pPr>
      <w:r>
        <w:rPr>
          <w:rFonts w:hint="eastAsia" w:ascii="宋体" w:hAnsi="宋体" w:cs="宋体"/>
          <w:lang w:eastAsia="zh-CN"/>
        </w:rPr>
        <w:t>——</w:t>
      </w:r>
      <w:r>
        <w:rPr>
          <w:rFonts w:hint="eastAsia" w:ascii="宋体" w:hAnsi="宋体" w:cs="宋体"/>
        </w:rPr>
        <w:t>第3级</w:t>
      </w:r>
      <w:r>
        <w:rPr>
          <w:rFonts w:hint="eastAsia" w:ascii="宋体" w:hAnsi="宋体" w:cs="宋体"/>
        </w:rPr>
        <w:tab/>
      </w:r>
      <w:r>
        <w:rPr>
          <w:rFonts w:hint="eastAsia" w:ascii="宋体" w:hAnsi="宋体" w:cs="宋体"/>
        </w:rPr>
        <w:t>已定义级；</w:t>
      </w:r>
    </w:p>
    <w:p>
      <w:pPr>
        <w:ind w:firstLine="420" w:firstLineChars="200"/>
        <w:rPr>
          <w:rFonts w:hint="eastAsia" w:ascii="宋体" w:hAnsi="宋体" w:cs="宋体"/>
        </w:rPr>
      </w:pPr>
      <w:r>
        <w:rPr>
          <w:rFonts w:hint="eastAsia" w:ascii="宋体" w:hAnsi="宋体" w:cs="宋体"/>
          <w:lang w:eastAsia="zh-CN"/>
        </w:rPr>
        <w:t>——</w:t>
      </w:r>
      <w:r>
        <w:rPr>
          <w:rFonts w:hint="eastAsia" w:ascii="宋体" w:hAnsi="宋体" w:cs="宋体"/>
        </w:rPr>
        <w:t>第4级</w:t>
      </w:r>
      <w:r>
        <w:rPr>
          <w:rFonts w:hint="eastAsia" w:ascii="宋体" w:hAnsi="宋体" w:cs="宋体"/>
        </w:rPr>
        <w:tab/>
      </w:r>
      <w:r>
        <w:rPr>
          <w:rFonts w:hint="eastAsia" w:ascii="宋体" w:hAnsi="宋体" w:cs="宋体"/>
        </w:rPr>
        <w:t>己管理级；</w:t>
      </w:r>
    </w:p>
    <w:p>
      <w:pPr>
        <w:ind w:firstLine="420" w:firstLineChars="200"/>
        <w:rPr>
          <w:rFonts w:hint="eastAsia" w:ascii="宋体" w:hAnsi="宋体" w:cs="宋体"/>
        </w:rPr>
      </w:pPr>
      <w:r>
        <w:rPr>
          <w:rFonts w:hint="eastAsia" w:ascii="宋体" w:hAnsi="宋体" w:cs="宋体"/>
          <w:lang w:eastAsia="zh-CN"/>
        </w:rPr>
        <w:t>——</w:t>
      </w:r>
      <w:r>
        <w:rPr>
          <w:rFonts w:hint="eastAsia" w:ascii="宋体" w:hAnsi="宋体" w:cs="宋体"/>
        </w:rPr>
        <w:t>第5级</w:t>
      </w:r>
      <w:r>
        <w:rPr>
          <w:rFonts w:hint="eastAsia" w:ascii="宋体" w:hAnsi="宋体" w:cs="宋体"/>
        </w:rPr>
        <w:tab/>
      </w:r>
      <w:r>
        <w:rPr>
          <w:rFonts w:hint="eastAsia" w:ascii="宋体" w:hAnsi="宋体" w:cs="宋体"/>
        </w:rPr>
        <w:t>优化级。</w:t>
      </w:r>
    </w:p>
    <w:p>
      <w:pPr>
        <w:ind w:firstLine="420" w:firstLineChars="200"/>
        <w:rPr>
          <w:rFonts w:hint="default" w:ascii="宋体" w:hAnsi="宋体" w:cs="宋体"/>
          <w:lang w:val="en-US" w:eastAsia="zh-CN"/>
        </w:rPr>
      </w:pPr>
      <w:r>
        <w:rPr>
          <w:rFonts w:hint="eastAsia" w:ascii="宋体" w:hAnsi="宋体" w:cs="宋体"/>
          <w:lang w:val="en-US" w:eastAsia="zh-CN"/>
        </w:rPr>
        <w:t>IT治理评价要素成熟度等级宜参照以下分值评分：初始级得分为0.2分，经验级得分为0.4分，已定义级得分为0.6分，已管理级得分为0.8分，优化级得分为1分。</w:t>
      </w:r>
    </w:p>
    <w:p>
      <w:pPr>
        <w:ind w:firstLine="420" w:firstLineChars="200"/>
        <w:rPr>
          <w:rFonts w:hint="eastAsia" w:ascii="宋体" w:hAnsi="宋体" w:cs="宋体"/>
          <w:lang w:val="en-US" w:eastAsia="zh-CN"/>
        </w:rPr>
      </w:pPr>
      <w:r>
        <w:rPr>
          <w:rFonts w:hint="eastAsia" w:ascii="宋体" w:hAnsi="宋体" w:cs="宋体"/>
          <w:lang w:val="en-US" w:eastAsia="zh-CN"/>
        </w:rPr>
        <w:t>IT治理评价要素成熟度等级如表1所示。</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1  IT</w:t>
      </w:r>
      <w:r>
        <w:rPr>
          <w:rFonts w:hint="eastAsia" w:ascii="黑体" w:hAnsi="黑体" w:eastAsia="黑体" w:cs="黑体"/>
        </w:rPr>
        <w:t>治理</w:t>
      </w:r>
      <w:r>
        <w:rPr>
          <w:rFonts w:hint="eastAsia" w:ascii="黑体" w:hAnsi="黑体" w:eastAsia="黑体" w:cs="黑体"/>
          <w:lang w:val="en-US" w:eastAsia="zh-CN"/>
        </w:rPr>
        <w:t>评价</w:t>
      </w:r>
      <w:r>
        <w:rPr>
          <w:rFonts w:hint="eastAsia" w:ascii="黑体" w:hAnsi="黑体" w:eastAsia="黑体" w:cs="黑体"/>
        </w:rPr>
        <w:t>要素成熟度等级</w:t>
      </w:r>
    </w:p>
    <w:tbl>
      <w:tblPr>
        <w:tblStyle w:val="12"/>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585"/>
        <w:gridCol w:w="1529"/>
        <w:gridCol w:w="1529"/>
        <w:gridCol w:w="1529"/>
        <w:gridCol w:w="1529"/>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IT治理评价要素</w:t>
            </w:r>
          </w:p>
        </w:tc>
        <w:tc>
          <w:tcPr>
            <w:tcW w:w="585"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评价子要素</w:t>
            </w:r>
          </w:p>
        </w:tc>
        <w:tc>
          <w:tcPr>
            <w:tcW w:w="1529"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初始级</w:t>
            </w:r>
          </w:p>
        </w:tc>
        <w:tc>
          <w:tcPr>
            <w:tcW w:w="1529"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经验级</w:t>
            </w:r>
          </w:p>
        </w:tc>
        <w:tc>
          <w:tcPr>
            <w:tcW w:w="1529"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已定义级</w:t>
            </w:r>
          </w:p>
        </w:tc>
        <w:tc>
          <w:tcPr>
            <w:tcW w:w="1529"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已管理级</w:t>
            </w:r>
          </w:p>
        </w:tc>
        <w:tc>
          <w:tcPr>
            <w:tcW w:w="1529"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优化级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价值创建</w:t>
            </w:r>
          </w:p>
        </w:tc>
        <w:tc>
          <w:tcPr>
            <w:tcW w:w="585"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业务交付</w:t>
            </w:r>
          </w:p>
        </w:tc>
        <w:tc>
          <w:tcPr>
            <w:tcW w:w="1529" w:type="dxa"/>
            <w:vAlign w:val="top"/>
          </w:tcPr>
          <w:p>
            <w:pPr>
              <w:spacing w:line="240" w:lineRule="auto"/>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尚未应用IT支持业务的创新发展</w:t>
            </w:r>
          </w:p>
        </w:tc>
        <w:tc>
          <w:tcPr>
            <w:tcW w:w="1529" w:type="dxa"/>
            <w:vAlign w:val="top"/>
          </w:tcPr>
          <w:p>
            <w:pPr>
              <w:spacing w:line="240" w:lineRule="auto"/>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IT应用覆盖产品设计、工艺设计及生产制造等工业企业主要运营过程</w:t>
            </w:r>
          </w:p>
        </w:tc>
        <w:tc>
          <w:tcPr>
            <w:tcW w:w="1529" w:type="dxa"/>
            <w:vAlign w:val="top"/>
          </w:tcPr>
          <w:p>
            <w:pPr>
              <w:spacing w:line="240" w:lineRule="auto"/>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IT应用有效提升产品设计、工艺设计及生产制造等工业企业主要运营过程的智能化水平和效率</w:t>
            </w:r>
          </w:p>
        </w:tc>
        <w:tc>
          <w:tcPr>
            <w:tcW w:w="1529" w:type="dxa"/>
            <w:vAlign w:val="top"/>
          </w:tcPr>
          <w:p>
            <w:pPr>
              <w:spacing w:line="240" w:lineRule="auto"/>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构建IT应急响应和灾难恢复机制，明确信息技术管理程序、资源保障，制定应急响应预案和灾难恢复方案并持续改进</w:t>
            </w:r>
          </w:p>
        </w:tc>
        <w:tc>
          <w:tcPr>
            <w:tcW w:w="1529" w:type="dxa"/>
            <w:vAlign w:val="top"/>
          </w:tcPr>
          <w:p>
            <w:pPr>
              <w:spacing w:line="240" w:lineRule="auto"/>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实现工业企业跨部门、跨业务环节的业务综合和集成，支持业务发展创新，满足企业现状和未来发展的需要</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lang w:eastAsia="zh-CN"/>
        </w:rPr>
      </w:pPr>
      <w:r>
        <w:rPr>
          <w:rFonts w:hint="eastAsia" w:ascii="黑体" w:hAnsi="黑体" w:eastAsia="黑体" w:cs="黑体"/>
        </w:rPr>
        <w:t>表</w:t>
      </w:r>
      <w:r>
        <w:rPr>
          <w:rFonts w:hint="eastAsia" w:ascii="黑体" w:hAnsi="黑体" w:eastAsia="黑体" w:cs="黑体"/>
          <w:lang w:val="en-US" w:eastAsia="zh-CN"/>
        </w:rPr>
        <w:t>1  IT</w:t>
      </w:r>
      <w:r>
        <w:rPr>
          <w:rFonts w:hint="eastAsia" w:ascii="黑体" w:hAnsi="黑体" w:eastAsia="黑体" w:cs="黑体"/>
        </w:rPr>
        <w:t>治理</w:t>
      </w:r>
      <w:r>
        <w:rPr>
          <w:rFonts w:hint="eastAsia" w:ascii="黑体" w:hAnsi="黑体" w:eastAsia="黑体" w:cs="黑体"/>
          <w:lang w:val="en-US" w:eastAsia="zh-CN"/>
        </w:rPr>
        <w:t>评价</w:t>
      </w:r>
      <w:r>
        <w:rPr>
          <w:rFonts w:hint="eastAsia" w:ascii="黑体" w:hAnsi="黑体" w:eastAsia="黑体" w:cs="黑体"/>
        </w:rPr>
        <w:t>要素成熟度等级</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12"/>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78"/>
        <w:gridCol w:w="1436"/>
        <w:gridCol w:w="1529"/>
        <w:gridCol w:w="1529"/>
        <w:gridCol w:w="1529"/>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IT治理评价要素</w:t>
            </w:r>
          </w:p>
        </w:tc>
        <w:tc>
          <w:tcPr>
            <w:tcW w:w="678" w:type="dxa"/>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评价子要素</w:t>
            </w:r>
          </w:p>
        </w:tc>
        <w:tc>
          <w:tcPr>
            <w:tcW w:w="1436"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初始级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经验级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已定义级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已管理级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优化级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p>
        </w:tc>
        <w:tc>
          <w:tcPr>
            <w:tcW w:w="678"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投资收益</w:t>
            </w:r>
          </w:p>
        </w:tc>
        <w:tc>
          <w:tcPr>
            <w:tcW w:w="1436"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尚未制定明确的IT投资规划</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制定IT投资规划，明确IT投资原则，并保证其符合组织战略、业务战略和IT战略</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建立IT投资管理组织，明确投资决策管理、风险管理、监督管理等机构的责任和权力</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指定专职人员对IT投资规划的实施进行跟踪管理，保证项目实施进度、质量、费用的合规性</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按总体要求，在预算范围内完成IT投资项目，使企业竞争力、经济和社会效益得到明显提升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p>
        </w:tc>
        <w:tc>
          <w:tcPr>
            <w:tcW w:w="678"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资源优化</w:t>
            </w:r>
          </w:p>
        </w:tc>
        <w:tc>
          <w:tcPr>
            <w:tcW w:w="1436"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尚未开展IT基础设施的规划、建设</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开展IT基础设施的规划、建设，满足日常运行、维护管理、维护成本和人力资源需求</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明确IT基础设施管理与执行、实施与运维的分工和界面，IT基础设施符合绿色、环保、节能的理念，具备扩展性</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IT基础设施实现了统一的建设、应用，实现IT软硬件资源的统一规划、集中管理、综合集成和优化利用</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建设企业级的系统集成架构，实现IT资源云化，支持企业内主要IT软硬件系统综合集成和优化利用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客户服务</w:t>
            </w:r>
          </w:p>
        </w:tc>
        <w:tc>
          <w:tcPr>
            <w:tcW w:w="678"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战略融合</w:t>
            </w:r>
          </w:p>
        </w:tc>
        <w:tc>
          <w:tcPr>
            <w:tcW w:w="1436"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尚未明确IT治理战略</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IT战略覆盖范围全面，与企业和业务的战略目标相一致</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IT战略符合相关标准化文件，考虑了优秀的实践经验、先进的IT技术和创新建议</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建立满足IT战略目标的管理体系，并配置充足的资源以达成IT战略目标</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根据内外部环境变化和IT治理绩效评价结果，持续优化和改进IT管理体系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p>
        </w:tc>
        <w:tc>
          <w:tcPr>
            <w:tcW w:w="678"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服务支持</w:t>
            </w:r>
          </w:p>
        </w:tc>
        <w:tc>
          <w:tcPr>
            <w:tcW w:w="1436"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尚未应用IT对业务的实现提供支持</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建立IT服务管理机制，明确组织内的职责、权限，控制IT服务实施风险</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IT资源满足IT服务支持的需求，定期对业务人员进行IT培训，使IT在业务应用中充分发挥作用</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定期评价IT服务支持水平，根据实际需要，优化IT服务管理机制，实现服务支持能力的持续提升</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IT服务支持的策划、设计、部署、运营、验收、改进及终止等环节，应以及时、精准响应和交付组织的业务需求为目的，适用于个性化、场景化的业务应用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p>
        </w:tc>
        <w:tc>
          <w:tcPr>
            <w:tcW w:w="678" w:type="dxa"/>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沟通合作</w:t>
            </w:r>
          </w:p>
        </w:tc>
        <w:tc>
          <w:tcPr>
            <w:tcW w:w="1436"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IT治理中，尚未建立有效的沟通合作机制和信息共享机制</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建立IT治理沟通合作机制，沟通合作机制全面覆盖跨部门、跨业务环节的业务综合和集成</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建立信息共享机制，实现产品设计、工艺设计、生产制造、质量检验等工业企业主要运营环节的信息采集、信息集中管理和信息共享</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实现产品设计、工艺设计与生产制造的协同，企业经营管理与生产制造的协同，财务系统与业务系统的集成等，并为企业决策提供依据</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及时响应技术创新、管理升级等变化，持续优化沟通合作机制和信息共享机制</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lang w:eastAsia="zh-CN"/>
        </w:rPr>
      </w:pPr>
      <w:r>
        <w:rPr>
          <w:rFonts w:hint="eastAsia" w:ascii="黑体" w:hAnsi="黑体" w:eastAsia="黑体" w:cs="黑体"/>
        </w:rPr>
        <w:t>表</w:t>
      </w:r>
      <w:r>
        <w:rPr>
          <w:rFonts w:hint="eastAsia" w:ascii="黑体" w:hAnsi="黑体" w:eastAsia="黑体" w:cs="黑体"/>
          <w:lang w:val="en-US" w:eastAsia="zh-CN"/>
        </w:rPr>
        <w:t>1  IT</w:t>
      </w:r>
      <w:r>
        <w:rPr>
          <w:rFonts w:hint="eastAsia" w:ascii="黑体" w:hAnsi="黑体" w:eastAsia="黑体" w:cs="黑体"/>
        </w:rPr>
        <w:t>治理</w:t>
      </w:r>
      <w:r>
        <w:rPr>
          <w:rFonts w:hint="eastAsia" w:ascii="黑体" w:hAnsi="黑体" w:eastAsia="黑体" w:cs="黑体"/>
          <w:lang w:val="en-US" w:eastAsia="zh-CN"/>
        </w:rPr>
        <w:t>评价</w:t>
      </w:r>
      <w:r>
        <w:rPr>
          <w:rFonts w:hint="eastAsia" w:ascii="黑体" w:hAnsi="黑体" w:eastAsia="黑体" w:cs="黑体"/>
        </w:rPr>
        <w:t>要素成熟度等级</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12"/>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585"/>
        <w:gridCol w:w="1529"/>
        <w:gridCol w:w="1529"/>
        <w:gridCol w:w="1529"/>
        <w:gridCol w:w="1529"/>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IT治理评价要素</w:t>
            </w:r>
          </w:p>
        </w:tc>
        <w:tc>
          <w:tcPr>
            <w:tcW w:w="585" w:type="dxa"/>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评价子要素</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初始级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经验级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已定义级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已管理级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优化级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过程优化</w:t>
            </w:r>
          </w:p>
        </w:tc>
        <w:tc>
          <w:tcPr>
            <w:tcW w:w="585"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过程规划</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尚未开展IT治理过程规划</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建立单一部门或业务应用的IT治理过程规划，IT治理管理体系分散，尚未建立统一的过程管理方法</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整合工业企业各部门、各业务环节的IT治理相关管理体系，建立统一的IT治理过程管理方法并有效执行</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IT治理过程的目标符合企业发展战略，并与相关业务目标相一致，IT治理过程管理方法中应明确指出IT治理实施方法及需要配置的资源，明确规定IT治理过程中的管理权限和责任</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及时响应技术创新、管理升级等变化，持续优化IT治理过程规划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p>
        </w:tc>
        <w:tc>
          <w:tcPr>
            <w:tcW w:w="585"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过程管理</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尚未建立IT治理过程管理的制度和流程</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识别IT治理过程覆盖范围，估算进度、工作量及成本，建立详细的过程管理制度和流程</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建立IT基础设施管理制度，实现IT基础设施生命周期全覆盖管理，基础设施符合绿色环保、节能理念，具备扩展性，满足业务需求</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建立过程分级管理制度，明确关键过程的责任部门或负责人，过程文件的格式、标识统一、规范，规范使用过程管理工具</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对IT治理过程的实施进行跟踪和监督，实现IT治理的持续优化、改进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p>
        </w:tc>
        <w:tc>
          <w:tcPr>
            <w:tcW w:w="585"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过程控制</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尚未建立IT治理过程管理的制度和流程</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建立了单一部门或业务应用的IT治理过程管理制度，尚未建立企业整体的IT治理过程管理体系</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建立了企业整体的IT治理过程管理体系，明确关键过程风险，制定相关应急预案，保障业务连续性</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明确IT治理过程中，各部门、各负责人的权限和职责，依据工业企业的战略目标和业务要求，建立绩效考评体系</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IT治理过程满足工业企业的战略目标和业务要求，IT治理过程可追溯，结果可计量或评估</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lang w:eastAsia="zh-CN"/>
        </w:rPr>
      </w:pPr>
      <w:r>
        <w:rPr>
          <w:rFonts w:hint="eastAsia" w:ascii="黑体" w:hAnsi="黑体" w:eastAsia="黑体" w:cs="黑体"/>
        </w:rPr>
        <w:t>表</w:t>
      </w:r>
      <w:r>
        <w:rPr>
          <w:rFonts w:hint="eastAsia" w:ascii="黑体" w:hAnsi="黑体" w:eastAsia="黑体" w:cs="黑体"/>
          <w:lang w:val="en-US" w:eastAsia="zh-CN"/>
        </w:rPr>
        <w:t>1  IT</w:t>
      </w:r>
      <w:r>
        <w:rPr>
          <w:rFonts w:hint="eastAsia" w:ascii="黑体" w:hAnsi="黑体" w:eastAsia="黑体" w:cs="黑体"/>
        </w:rPr>
        <w:t>治理</w:t>
      </w:r>
      <w:r>
        <w:rPr>
          <w:rFonts w:hint="eastAsia" w:ascii="黑体" w:hAnsi="黑体" w:eastAsia="黑体" w:cs="黑体"/>
          <w:lang w:val="en-US" w:eastAsia="zh-CN"/>
        </w:rPr>
        <w:t>评价</w:t>
      </w:r>
      <w:r>
        <w:rPr>
          <w:rFonts w:hint="eastAsia" w:ascii="黑体" w:hAnsi="黑体" w:eastAsia="黑体" w:cs="黑体"/>
        </w:rPr>
        <w:t>要素成熟度等级</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12"/>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585"/>
        <w:gridCol w:w="1529"/>
        <w:gridCol w:w="1529"/>
        <w:gridCol w:w="1529"/>
        <w:gridCol w:w="1529"/>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IT治理评价要素</w:t>
            </w:r>
          </w:p>
        </w:tc>
        <w:tc>
          <w:tcPr>
            <w:tcW w:w="585" w:type="dxa"/>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评价子要素</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初始级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经验级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已定义级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已管理级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优化级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p>
        </w:tc>
        <w:tc>
          <w:tcPr>
            <w:tcW w:w="585"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过程改进</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建立职能驱动型的持续改进机制，结合内外部环境变化以及当前过程需要的信息技术和资源，按照形成的规定处理实际或潜在的不符合，并采取纠正措施或预防措施，持续开展改进活动</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建立技术使能型的持续改进机制，结合内外部环境变化以及当前过程需要的信息技术和资源，按照形成的规定处理实际或潜在的不符合，并采取纠正措施或预防措施，持续开展改进活动</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建立知识驱动型的持续改进机制，结合内外部环境变化以及当前过程需要的信息技术和资源，按照形成的规定处理实际或潜在的不符合，并采取纠正措施或预防措施，持续优化改进活动</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建立覆盖工业企业全局以及跨业务的数据驱动型持续改进机制，基于数据模型，按照确定的规则处理实际或潜在的不符合，并采取纠正措施或预防措施，动态优化改进活动</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建立覆盖工业企业及生态合作伙伴的智能驱动型持续改进机制，基于人机智能融合，处理实际或潜在的不符合，并采取纠正措施或预防措施，实现改进活动的自组织、自优化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创新发展</w:t>
            </w:r>
          </w:p>
        </w:tc>
        <w:tc>
          <w:tcPr>
            <w:tcW w:w="585"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文化建设</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尚未建立IT治理相关的企业文化体系</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建立与企业整体战略目标向一致的IT治理文化体系，并提供必要的资金和人力资源保障</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企业各部门或各层级建立了IT治理文化建设领导机构，并明确分管领导和相关工作人员</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定期开展IT治理文化宣传教育，提升员工对企业IT治理文化理念的熟知度</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建立IT治理文化评估优化机制，借鉴国内外先进实践，不断优化IT治理文化及管理制度，确保IT治理文化与企业文化和发展战略的适宜性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p>
        </w:tc>
        <w:tc>
          <w:tcPr>
            <w:tcW w:w="585"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知识研究</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尚未开展IT治理知识储备和积累</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建立IT治理知识库和专家库，能够运用IT手段加强工业企业的知识储备和积累</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建立跨部门的知识共享机制，推动知识的传递、积累和创造，提升知识和研究成果的使用率</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建立覆盖全员的知识创新机制和研究激励机制，提供研究经费，支持全员创新</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建立支持员工开展创造性工作的人机智能协同系统，研究和创新成果取得知识产权，显著提升工业企业核心竞争力</w:t>
            </w:r>
          </w:p>
        </w:tc>
      </w:tr>
    </w:tbl>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lang w:eastAsia="zh-CN"/>
        </w:rPr>
      </w:pPr>
      <w:r>
        <w:rPr>
          <w:rFonts w:hint="eastAsia" w:ascii="黑体" w:hAnsi="黑体" w:eastAsia="黑体" w:cs="黑体"/>
        </w:rPr>
        <w:t>表</w:t>
      </w:r>
      <w:r>
        <w:rPr>
          <w:rFonts w:hint="eastAsia" w:ascii="黑体" w:hAnsi="黑体" w:eastAsia="黑体" w:cs="黑体"/>
          <w:lang w:val="en-US" w:eastAsia="zh-CN"/>
        </w:rPr>
        <w:t>1  IT</w:t>
      </w:r>
      <w:r>
        <w:rPr>
          <w:rFonts w:hint="eastAsia" w:ascii="黑体" w:hAnsi="黑体" w:eastAsia="黑体" w:cs="黑体"/>
        </w:rPr>
        <w:t>治理</w:t>
      </w:r>
      <w:r>
        <w:rPr>
          <w:rFonts w:hint="eastAsia" w:ascii="黑体" w:hAnsi="黑体" w:eastAsia="黑体" w:cs="黑体"/>
          <w:lang w:val="en-US" w:eastAsia="zh-CN"/>
        </w:rPr>
        <w:t>评价</w:t>
      </w:r>
      <w:r>
        <w:rPr>
          <w:rFonts w:hint="eastAsia" w:ascii="黑体" w:hAnsi="黑体" w:eastAsia="黑体" w:cs="黑体"/>
        </w:rPr>
        <w:t>要素成熟度等级</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12"/>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585"/>
        <w:gridCol w:w="1529"/>
        <w:gridCol w:w="1529"/>
        <w:gridCol w:w="1529"/>
        <w:gridCol w:w="1529"/>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IT治理评价要素</w:t>
            </w:r>
          </w:p>
        </w:tc>
        <w:tc>
          <w:tcPr>
            <w:tcW w:w="585" w:type="dxa"/>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评价子要素</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初始级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经验级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已定义级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已管理级</w:t>
            </w:r>
          </w:p>
        </w:tc>
        <w:tc>
          <w:tcPr>
            <w:tcW w:w="1529" w:type="dxa"/>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优化级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vAlign w:val="center"/>
          </w:tcPr>
          <w:p>
            <w:pPr>
              <w:spacing w:line="240" w:lineRule="auto"/>
              <w:jc w:val="center"/>
              <w:rPr>
                <w:rFonts w:hint="default" w:asciiTheme="minorEastAsia" w:hAnsiTheme="minorEastAsia" w:eastAsiaTheme="minorEastAsia" w:cstheme="minorEastAsia"/>
                <w:sz w:val="18"/>
                <w:szCs w:val="18"/>
                <w:vertAlign w:val="baseline"/>
                <w:lang w:val="en-US" w:eastAsia="zh-CN"/>
              </w:rPr>
            </w:pPr>
          </w:p>
        </w:tc>
        <w:tc>
          <w:tcPr>
            <w:tcW w:w="585"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学习成长</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尚未建立IT治理培训体系</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通过建立IT治理培训体系，对人员储备、培训、选拔和淘汰机制做出明确规定</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能够基于IT手段进行复合型人才需求分析、教育培养、使用优化和绩效考核</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建立人才画像，开展人才精准培养、精准使用和精准考核；以价值创造结果为导向，建立人才评价机制，实现人才价值的全面可量化、可优化</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能够建立人才智能模型，开展预测性人才开发与动态管控，相关人员获得专业资格认证或资质证书的数量和比例显著提高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spacing w:line="240" w:lineRule="auto"/>
              <w:jc w:val="center"/>
              <w:rPr>
                <w:rFonts w:hint="eastAsia" w:asciiTheme="minorEastAsia" w:hAnsiTheme="minorEastAsia" w:eastAsiaTheme="minorEastAsia" w:cstheme="minorEastAsia"/>
                <w:sz w:val="18"/>
                <w:szCs w:val="18"/>
                <w:vertAlign w:val="baseline"/>
                <w:lang w:val="en-US" w:eastAsia="zh-CN"/>
              </w:rPr>
            </w:pPr>
          </w:p>
        </w:tc>
        <w:tc>
          <w:tcPr>
            <w:tcW w:w="585" w:type="dxa"/>
            <w:vAlign w:val="center"/>
          </w:tcPr>
          <w:p>
            <w:pPr>
              <w:spacing w:line="240" w:lineRule="auto"/>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创新机制</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尚未运用IT手段开展产品和业务创新</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能够运用IT手段辅助支持产品和业务创新，提供资金、技术等资源保障</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鼓励创新，建立明确的创新研究、申报、评审和激励制度</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IT有效融入产品和业务创新过程，能够根据内外部环境变化快速调整产品和业务的创新策略</w:t>
            </w:r>
          </w:p>
        </w:tc>
        <w:tc>
          <w:tcPr>
            <w:tcW w:w="1529" w:type="dxa"/>
            <w:vAlign w:val="top"/>
          </w:tcPr>
          <w:p>
            <w:pPr>
              <w:spacing w:line="240" w:lineRule="auto"/>
              <w:jc w:val="left"/>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实现创新成果的有效转化和利用，创新成果有效提高重要产品的经济效益和社会效益，有效提高关键业务应用的效能，并对有代表性的创新进行应用示范和推广</w:t>
            </w:r>
          </w:p>
        </w:tc>
      </w:tr>
    </w:tbl>
    <w:p>
      <w:pPr>
        <w:rPr>
          <w:rFonts w:hint="default"/>
          <w:lang w:val="en-US" w:eastAsia="zh-CN"/>
        </w:rPr>
      </w:pPr>
    </w:p>
    <w:p>
      <w:pPr>
        <w:pStyle w:val="18"/>
        <w:bidi w:val="0"/>
        <w:rPr>
          <w:rFonts w:hint="default"/>
          <w:lang w:val="en-US" w:eastAsia="zh-CN"/>
        </w:rPr>
      </w:pPr>
      <w:r>
        <w:rPr>
          <w:rFonts w:hint="eastAsia"/>
          <w:lang w:val="en-US" w:eastAsia="zh-CN"/>
        </w:rPr>
        <w:t>IT治理评价要素分数计算说明</w:t>
      </w:r>
    </w:p>
    <w:p>
      <w:pPr>
        <w:ind w:firstLine="420" w:firstLineChars="200"/>
        <w:rPr>
          <w:rFonts w:hint="eastAsia"/>
        </w:rPr>
      </w:pPr>
      <w:r>
        <w:rPr>
          <w:rFonts w:hint="eastAsia" w:ascii="宋体" w:hAnsi="宋体" w:cs="宋体"/>
        </w:rPr>
        <w:t>如表</w:t>
      </w:r>
      <w:r>
        <w:rPr>
          <w:rFonts w:hint="eastAsia" w:ascii="宋体" w:hAnsi="宋体" w:cs="宋体"/>
          <w:lang w:val="en-US" w:eastAsia="zh-CN"/>
        </w:rPr>
        <w:t>2</w:t>
      </w:r>
      <w:r>
        <w:rPr>
          <w:rFonts w:hint="eastAsia" w:ascii="宋体" w:hAnsi="宋体" w:cs="宋体"/>
        </w:rPr>
        <w:t>所示，</w:t>
      </w:r>
      <w:r>
        <w:rPr>
          <w:rFonts w:hint="eastAsia" w:ascii="宋体" w:hAnsi="宋体" w:cs="宋体"/>
          <w:lang w:val="en-US" w:eastAsia="zh-CN"/>
        </w:rPr>
        <w:t>IT</w:t>
      </w:r>
      <w:r>
        <w:rPr>
          <w:rFonts w:hint="eastAsia" w:ascii="宋体" w:hAnsi="宋体" w:cs="宋体"/>
        </w:rPr>
        <w:t>治理</w:t>
      </w:r>
      <w:r>
        <w:rPr>
          <w:rFonts w:hint="eastAsia" w:ascii="宋体" w:hAnsi="宋体" w:cs="宋体"/>
          <w:lang w:val="en-US" w:eastAsia="zh-CN"/>
        </w:rPr>
        <w:t>评价要素</w:t>
      </w:r>
      <w:r>
        <w:rPr>
          <w:rFonts w:hint="eastAsia" w:ascii="宋体" w:hAnsi="宋体" w:cs="宋体"/>
        </w:rPr>
        <w:t>在业务交付、投资收益和资源管理</w:t>
      </w:r>
      <w:r>
        <w:rPr>
          <w:rFonts w:hint="eastAsia" w:ascii="宋体" w:hAnsi="宋体" w:cs="宋体"/>
          <w:lang w:val="en-US" w:eastAsia="zh-CN"/>
        </w:rPr>
        <w:t>等评价子要素</w:t>
      </w:r>
      <w:r>
        <w:rPr>
          <w:rFonts w:hint="eastAsia" w:ascii="宋体" w:hAnsi="宋体" w:cs="宋体"/>
        </w:rPr>
        <w:t>得分Z=(0.4、0.4、0.4)</w:t>
      </w:r>
      <w:r>
        <w:rPr>
          <w:rFonts w:hint="eastAsia" w:ascii="宋体" w:hAnsi="宋体" w:cs="宋体"/>
          <w:lang w:eastAsia="zh-CN"/>
        </w:rPr>
        <w:t>，</w:t>
      </w:r>
      <w:r>
        <w:rPr>
          <w:rFonts w:hint="eastAsia" w:ascii="宋体" w:hAnsi="宋体" w:cs="宋体"/>
        </w:rPr>
        <w:t>根据价值创建评价</w:t>
      </w:r>
      <w:r>
        <w:rPr>
          <w:rFonts w:hint="eastAsia" w:ascii="宋体" w:hAnsi="宋体" w:cs="宋体"/>
          <w:lang w:val="en-US" w:eastAsia="zh-CN"/>
        </w:rPr>
        <w:t>要素</w:t>
      </w:r>
      <w:r>
        <w:rPr>
          <w:rFonts w:hint="eastAsia" w:ascii="宋体" w:hAnsi="宋体" w:cs="宋体"/>
        </w:rPr>
        <w:t>的三个评价子</w:t>
      </w:r>
      <w:r>
        <w:rPr>
          <w:rFonts w:hint="eastAsia" w:ascii="宋体" w:hAnsi="宋体" w:cs="宋体"/>
          <w:lang w:eastAsia="zh-CN"/>
        </w:rPr>
        <w:t>要素</w:t>
      </w:r>
      <w:r>
        <w:rPr>
          <w:rFonts w:hint="eastAsia" w:ascii="宋体" w:hAnsi="宋体" w:cs="宋体"/>
        </w:rPr>
        <w:t>权重B=(0.4、0.3、0.3)</w:t>
      </w:r>
      <w:r>
        <w:rPr>
          <w:rFonts w:hint="eastAsia" w:ascii="宋体" w:hAnsi="宋体" w:cs="宋体"/>
          <w:lang w:eastAsia="zh-CN"/>
        </w:rPr>
        <w:t>。</w:t>
      </w:r>
      <w:r>
        <w:rPr>
          <w:rFonts w:hint="eastAsia" w:ascii="宋体" w:hAnsi="宋体" w:cs="宋体"/>
        </w:rPr>
        <w:t>可以计算得出价值创建的得分Y=(0.4×0.4+0.4×0.3+0.4×0.3)=0.4</w:t>
      </w:r>
      <w:r>
        <w:rPr>
          <w:rFonts w:hint="eastAsia" w:ascii="宋体" w:hAnsi="宋体" w:cs="宋体"/>
          <w:lang w:eastAsia="zh-CN"/>
        </w:rPr>
        <w:t>。</w:t>
      </w:r>
      <w:r>
        <w:rPr>
          <w:rFonts w:hint="eastAsia" w:ascii="宋体" w:hAnsi="宋体" w:cs="宋体"/>
          <w:lang w:val="en-US" w:eastAsia="zh-CN"/>
        </w:rPr>
        <w:t>以此类推，</w:t>
      </w:r>
      <w:r>
        <w:rPr>
          <w:rFonts w:hint="eastAsia" w:ascii="宋体" w:hAnsi="宋体" w:cs="宋体"/>
        </w:rPr>
        <w:t>最终计算出</w:t>
      </w:r>
      <w:r>
        <w:rPr>
          <w:rFonts w:hint="eastAsia" w:ascii="宋体" w:hAnsi="宋体" w:cs="宋体"/>
          <w:lang w:val="en-US" w:eastAsia="zh-CN"/>
        </w:rPr>
        <w:t>IT治理评价</w:t>
      </w:r>
      <w:r>
        <w:rPr>
          <w:rFonts w:hint="eastAsia" w:ascii="宋体" w:hAnsi="宋体" w:cs="宋体"/>
        </w:rPr>
        <w:t>要素的总体得分X=0.4。</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 xml:space="preserve">2  </w:t>
      </w:r>
      <w:r>
        <w:rPr>
          <w:rFonts w:hint="eastAsia" w:ascii="黑体" w:hAnsi="黑体" w:eastAsia="黑体" w:cs="黑体"/>
        </w:rPr>
        <w:t>IT治理</w:t>
      </w:r>
      <w:r>
        <w:rPr>
          <w:rFonts w:hint="eastAsia" w:ascii="黑体" w:hAnsi="黑体" w:eastAsia="黑体" w:cs="黑体"/>
          <w:lang w:val="en-US" w:eastAsia="zh-CN"/>
        </w:rPr>
        <w:t>评价</w:t>
      </w:r>
      <w:r>
        <w:rPr>
          <w:rFonts w:hint="eastAsia" w:ascii="黑体" w:hAnsi="黑体" w:eastAsia="黑体" w:cs="黑体"/>
        </w:rPr>
        <w:t>要素分数计算表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916"/>
        <w:gridCol w:w="1415"/>
        <w:gridCol w:w="1319"/>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jc w:val="center"/>
              <w:rPr>
                <w:rFonts w:hint="eastAsia" w:ascii="宋体" w:hAnsi="宋体" w:cs="宋体"/>
                <w:sz w:val="18"/>
                <w:szCs w:val="18"/>
                <w:vertAlign w:val="baseline"/>
              </w:rPr>
            </w:pPr>
            <w:r>
              <w:rPr>
                <w:rFonts w:hint="eastAsia" w:ascii="宋体" w:hAnsi="宋体" w:cs="宋体"/>
                <w:sz w:val="18"/>
                <w:szCs w:val="18"/>
              </w:rPr>
              <w:t>得分(X)</w:t>
            </w:r>
          </w:p>
        </w:tc>
        <w:tc>
          <w:tcPr>
            <w:tcW w:w="1216"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lang w:val="en-US" w:eastAsia="zh-CN"/>
              </w:rPr>
              <w:t>IT治理</w:t>
            </w:r>
            <w:r>
              <w:rPr>
                <w:rFonts w:hint="eastAsia" w:ascii="宋体" w:hAnsi="宋体" w:cs="宋体"/>
                <w:sz w:val="18"/>
                <w:szCs w:val="18"/>
              </w:rPr>
              <w:t>评价</w:t>
            </w:r>
            <w:r>
              <w:rPr>
                <w:rFonts w:hint="eastAsia" w:ascii="宋体" w:hAnsi="宋体" w:cs="宋体"/>
                <w:sz w:val="18"/>
                <w:szCs w:val="18"/>
                <w:lang w:val="en-US" w:eastAsia="zh-CN"/>
              </w:rPr>
              <w:t>要素</w:t>
            </w:r>
          </w:p>
        </w:tc>
        <w:tc>
          <w:tcPr>
            <w:tcW w:w="1216"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权重（A）</w:t>
            </w:r>
          </w:p>
        </w:tc>
        <w:tc>
          <w:tcPr>
            <w:tcW w:w="916" w:type="dxa"/>
            <w:vAlign w:val="center"/>
          </w:tcPr>
          <w:p>
            <w:pPr>
              <w:jc w:val="center"/>
              <w:rPr>
                <w:rFonts w:hint="eastAsia" w:ascii="宋体" w:hAnsi="宋体" w:cs="宋体"/>
                <w:sz w:val="18"/>
                <w:szCs w:val="18"/>
                <w:vertAlign w:val="baseline"/>
              </w:rPr>
            </w:pPr>
            <w:r>
              <w:rPr>
                <w:rFonts w:hint="eastAsia" w:ascii="宋体" w:hAnsi="宋体" w:cs="宋体"/>
                <w:sz w:val="18"/>
                <w:szCs w:val="18"/>
              </w:rPr>
              <w:t>得分(Y)</w:t>
            </w:r>
          </w:p>
        </w:tc>
        <w:tc>
          <w:tcPr>
            <w:tcW w:w="141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rPr>
              <w:t>评价子</w:t>
            </w:r>
            <w:r>
              <w:rPr>
                <w:rFonts w:hint="eastAsia" w:ascii="宋体" w:hAnsi="宋体" w:cs="宋体"/>
                <w:sz w:val="18"/>
                <w:szCs w:val="18"/>
                <w:lang w:val="en-US" w:eastAsia="zh-CN"/>
              </w:rPr>
              <w:t>要素</w:t>
            </w:r>
          </w:p>
        </w:tc>
        <w:tc>
          <w:tcPr>
            <w:tcW w:w="1319"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权重（B）/%</w:t>
            </w:r>
          </w:p>
        </w:tc>
        <w:tc>
          <w:tcPr>
            <w:tcW w:w="1218" w:type="dxa"/>
            <w:vAlign w:val="center"/>
          </w:tcPr>
          <w:p>
            <w:pPr>
              <w:jc w:val="center"/>
              <w:rPr>
                <w:rFonts w:hint="eastAsia" w:ascii="宋体" w:hAnsi="宋体" w:cs="宋体"/>
                <w:sz w:val="18"/>
                <w:szCs w:val="18"/>
                <w:vertAlign w:val="baseline"/>
              </w:rPr>
            </w:pPr>
            <w:r>
              <w:rPr>
                <w:rFonts w:hint="eastAsia" w:ascii="宋体" w:hAnsi="宋体" w:cs="宋体"/>
                <w:sz w:val="18"/>
                <w:szCs w:val="18"/>
              </w:rPr>
              <w:t>战略治理</w:t>
            </w:r>
            <w:r>
              <w:rPr>
                <w:rFonts w:hint="eastAsia" w:ascii="宋体" w:hAnsi="宋体" w:cs="宋体"/>
                <w:sz w:val="18"/>
                <w:szCs w:val="18"/>
                <w:lang w:eastAsia="zh-CN"/>
              </w:rPr>
              <w:t>要素</w:t>
            </w:r>
            <w:r>
              <w:rPr>
                <w:rFonts w:hint="eastAsia" w:ascii="宋体" w:hAnsi="宋体" w:cs="宋体"/>
                <w:sz w:val="18"/>
                <w:szCs w:val="18"/>
              </w:rPr>
              <w:t>得分(</w:t>
            </w:r>
            <w:r>
              <w:rPr>
                <w:rFonts w:hint="eastAsia" w:ascii="宋体" w:hAnsi="宋体" w:cs="宋体"/>
                <w:sz w:val="18"/>
                <w:szCs w:val="18"/>
                <w:lang w:val="en-US" w:eastAsia="zh-CN"/>
              </w:rPr>
              <w:t>Z</w:t>
            </w: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0.4</w:t>
            </w:r>
          </w:p>
        </w:tc>
        <w:tc>
          <w:tcPr>
            <w:tcW w:w="1216" w:type="dxa"/>
            <w:vMerge w:val="restart"/>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价值创建</w:t>
            </w:r>
          </w:p>
        </w:tc>
        <w:tc>
          <w:tcPr>
            <w:tcW w:w="1216" w:type="dxa"/>
            <w:vMerge w:val="restart"/>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0.2</w:t>
            </w:r>
          </w:p>
        </w:tc>
        <w:tc>
          <w:tcPr>
            <w:tcW w:w="916" w:type="dxa"/>
            <w:vMerge w:val="restart"/>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0.4</w:t>
            </w:r>
          </w:p>
        </w:tc>
        <w:tc>
          <w:tcPr>
            <w:tcW w:w="141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业务交付</w:t>
            </w:r>
          </w:p>
        </w:tc>
        <w:tc>
          <w:tcPr>
            <w:tcW w:w="1319"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0.4</w:t>
            </w:r>
          </w:p>
        </w:tc>
        <w:tc>
          <w:tcPr>
            <w:tcW w:w="1218"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rPr>
            </w:pPr>
          </w:p>
        </w:tc>
        <w:tc>
          <w:tcPr>
            <w:tcW w:w="916" w:type="dxa"/>
            <w:vMerge w:val="continue"/>
            <w:vAlign w:val="center"/>
          </w:tcPr>
          <w:p>
            <w:pPr>
              <w:jc w:val="center"/>
              <w:rPr>
                <w:rFonts w:hint="eastAsia" w:ascii="宋体" w:hAnsi="宋体" w:cs="宋体"/>
                <w:sz w:val="18"/>
                <w:szCs w:val="18"/>
                <w:vertAlign w:val="baseline"/>
              </w:rPr>
            </w:pPr>
          </w:p>
        </w:tc>
        <w:tc>
          <w:tcPr>
            <w:tcW w:w="141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投资收益</w:t>
            </w:r>
          </w:p>
        </w:tc>
        <w:tc>
          <w:tcPr>
            <w:tcW w:w="1319"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0.3</w:t>
            </w:r>
          </w:p>
        </w:tc>
        <w:tc>
          <w:tcPr>
            <w:tcW w:w="1218"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rPr>
            </w:pPr>
          </w:p>
        </w:tc>
        <w:tc>
          <w:tcPr>
            <w:tcW w:w="916" w:type="dxa"/>
            <w:vMerge w:val="continue"/>
            <w:vAlign w:val="center"/>
          </w:tcPr>
          <w:p>
            <w:pPr>
              <w:jc w:val="center"/>
              <w:rPr>
                <w:rFonts w:hint="eastAsia" w:ascii="宋体" w:hAnsi="宋体" w:cs="宋体"/>
                <w:sz w:val="18"/>
                <w:szCs w:val="18"/>
                <w:vertAlign w:val="baseline"/>
              </w:rPr>
            </w:pPr>
          </w:p>
        </w:tc>
        <w:tc>
          <w:tcPr>
            <w:tcW w:w="141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资源优化</w:t>
            </w:r>
          </w:p>
        </w:tc>
        <w:tc>
          <w:tcPr>
            <w:tcW w:w="1319"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0.3</w:t>
            </w:r>
          </w:p>
        </w:tc>
        <w:tc>
          <w:tcPr>
            <w:tcW w:w="1218" w:type="dxa"/>
            <w:vAlign w:val="center"/>
          </w:tcPr>
          <w:p>
            <w:pPr>
              <w:jc w:val="center"/>
              <w:rPr>
                <w:rFonts w:hint="eastAsia" w:ascii="宋体" w:hAnsi="宋体" w:cs="宋体"/>
                <w:sz w:val="18"/>
                <w:szCs w:val="18"/>
                <w:vertAlign w:val="baseline"/>
              </w:rPr>
            </w:pPr>
            <w:r>
              <w:rPr>
                <w:rFonts w:hint="eastAsia" w:ascii="宋体" w:hAnsi="宋体" w:cs="宋体"/>
                <w:sz w:val="18"/>
                <w:szCs w:val="18"/>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hint="eastAsia" w:ascii="宋体" w:hAnsi="宋体" w:cs="宋体"/>
                <w:sz w:val="18"/>
                <w:szCs w:val="18"/>
                <w:vertAlign w:val="baseline"/>
              </w:rPr>
            </w:pPr>
          </w:p>
        </w:tc>
        <w:tc>
          <w:tcPr>
            <w:tcW w:w="1216" w:type="dxa"/>
            <w:vMerge w:val="restart"/>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客户服务</w:t>
            </w:r>
          </w:p>
        </w:tc>
        <w:tc>
          <w:tcPr>
            <w:tcW w:w="1216" w:type="dxa"/>
            <w:vMerge w:val="restart"/>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0.3</w:t>
            </w:r>
          </w:p>
        </w:tc>
        <w:tc>
          <w:tcPr>
            <w:tcW w:w="916" w:type="dxa"/>
            <w:vMerge w:val="restart"/>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0.4</w:t>
            </w:r>
          </w:p>
        </w:tc>
        <w:tc>
          <w:tcPr>
            <w:tcW w:w="141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战略融合</w:t>
            </w:r>
          </w:p>
        </w:tc>
        <w:tc>
          <w:tcPr>
            <w:tcW w:w="1319"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0.4</w:t>
            </w:r>
          </w:p>
        </w:tc>
        <w:tc>
          <w:tcPr>
            <w:tcW w:w="1218"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rPr>
            </w:pPr>
          </w:p>
        </w:tc>
        <w:tc>
          <w:tcPr>
            <w:tcW w:w="916" w:type="dxa"/>
            <w:vMerge w:val="continue"/>
            <w:vAlign w:val="center"/>
          </w:tcPr>
          <w:p>
            <w:pPr>
              <w:jc w:val="center"/>
              <w:rPr>
                <w:rFonts w:hint="eastAsia" w:ascii="宋体" w:hAnsi="宋体" w:cs="宋体"/>
                <w:sz w:val="18"/>
                <w:szCs w:val="18"/>
                <w:vertAlign w:val="baseline"/>
              </w:rPr>
            </w:pPr>
          </w:p>
        </w:tc>
        <w:tc>
          <w:tcPr>
            <w:tcW w:w="141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服务支持</w:t>
            </w:r>
          </w:p>
        </w:tc>
        <w:tc>
          <w:tcPr>
            <w:tcW w:w="1319"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0.3</w:t>
            </w:r>
          </w:p>
        </w:tc>
        <w:tc>
          <w:tcPr>
            <w:tcW w:w="1218"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rPr>
            </w:pPr>
          </w:p>
        </w:tc>
        <w:tc>
          <w:tcPr>
            <w:tcW w:w="916" w:type="dxa"/>
            <w:vMerge w:val="continue"/>
            <w:vAlign w:val="center"/>
          </w:tcPr>
          <w:p>
            <w:pPr>
              <w:jc w:val="center"/>
              <w:rPr>
                <w:rFonts w:hint="eastAsia" w:ascii="宋体" w:hAnsi="宋体" w:cs="宋体"/>
                <w:sz w:val="18"/>
                <w:szCs w:val="18"/>
                <w:vertAlign w:val="baseline"/>
              </w:rPr>
            </w:pPr>
          </w:p>
        </w:tc>
        <w:tc>
          <w:tcPr>
            <w:tcW w:w="141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沟通合作</w:t>
            </w:r>
          </w:p>
        </w:tc>
        <w:tc>
          <w:tcPr>
            <w:tcW w:w="1319"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0.3</w:t>
            </w:r>
          </w:p>
        </w:tc>
        <w:tc>
          <w:tcPr>
            <w:tcW w:w="1218"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0.4</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 xml:space="preserve">2  </w:t>
      </w:r>
      <w:r>
        <w:rPr>
          <w:rFonts w:hint="eastAsia" w:ascii="黑体" w:hAnsi="黑体" w:eastAsia="黑体" w:cs="黑体"/>
        </w:rPr>
        <w:t>IT治理</w:t>
      </w:r>
      <w:r>
        <w:rPr>
          <w:rFonts w:hint="eastAsia" w:ascii="黑体" w:hAnsi="黑体" w:eastAsia="黑体" w:cs="黑体"/>
          <w:lang w:val="en-US" w:eastAsia="zh-CN"/>
        </w:rPr>
        <w:t>评价</w:t>
      </w:r>
      <w:r>
        <w:rPr>
          <w:rFonts w:hint="eastAsia" w:ascii="黑体" w:hAnsi="黑体" w:eastAsia="黑体" w:cs="黑体"/>
        </w:rPr>
        <w:t>要素分数计算表</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916"/>
        <w:gridCol w:w="1415"/>
        <w:gridCol w:w="1319"/>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jc w:val="center"/>
              <w:rPr>
                <w:rFonts w:hint="eastAsia" w:ascii="宋体" w:hAnsi="宋体" w:cs="宋体"/>
                <w:sz w:val="18"/>
                <w:szCs w:val="18"/>
                <w:vertAlign w:val="baseline"/>
              </w:rPr>
            </w:pPr>
            <w:r>
              <w:rPr>
                <w:rFonts w:hint="eastAsia" w:ascii="宋体" w:hAnsi="宋体" w:cs="宋体"/>
                <w:sz w:val="18"/>
                <w:szCs w:val="18"/>
              </w:rPr>
              <w:t>得分(X)</w:t>
            </w:r>
          </w:p>
        </w:tc>
        <w:tc>
          <w:tcPr>
            <w:tcW w:w="1216"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lang w:val="en-US" w:eastAsia="zh-CN"/>
              </w:rPr>
              <w:t>IT治理</w:t>
            </w:r>
            <w:r>
              <w:rPr>
                <w:rFonts w:hint="eastAsia" w:ascii="宋体" w:hAnsi="宋体" w:cs="宋体"/>
                <w:sz w:val="18"/>
                <w:szCs w:val="18"/>
              </w:rPr>
              <w:t>评价</w:t>
            </w:r>
            <w:r>
              <w:rPr>
                <w:rFonts w:hint="eastAsia" w:ascii="宋体" w:hAnsi="宋体" w:cs="宋体"/>
                <w:sz w:val="18"/>
                <w:szCs w:val="18"/>
                <w:lang w:val="en-US" w:eastAsia="zh-CN"/>
              </w:rPr>
              <w:t>要素</w:t>
            </w:r>
          </w:p>
        </w:tc>
        <w:tc>
          <w:tcPr>
            <w:tcW w:w="1216"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权重（A）</w:t>
            </w:r>
          </w:p>
        </w:tc>
        <w:tc>
          <w:tcPr>
            <w:tcW w:w="916" w:type="dxa"/>
            <w:vAlign w:val="center"/>
          </w:tcPr>
          <w:p>
            <w:pPr>
              <w:jc w:val="center"/>
              <w:rPr>
                <w:rFonts w:hint="eastAsia" w:ascii="宋体" w:hAnsi="宋体" w:cs="宋体"/>
                <w:sz w:val="18"/>
                <w:szCs w:val="18"/>
                <w:vertAlign w:val="baseline"/>
              </w:rPr>
            </w:pPr>
            <w:r>
              <w:rPr>
                <w:rFonts w:hint="eastAsia" w:ascii="宋体" w:hAnsi="宋体" w:cs="宋体"/>
                <w:sz w:val="18"/>
                <w:szCs w:val="18"/>
              </w:rPr>
              <w:t>得分(Y)</w:t>
            </w:r>
          </w:p>
        </w:tc>
        <w:tc>
          <w:tcPr>
            <w:tcW w:w="141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rPr>
              <w:t>评价子</w:t>
            </w:r>
            <w:r>
              <w:rPr>
                <w:rFonts w:hint="eastAsia" w:ascii="宋体" w:hAnsi="宋体" w:cs="宋体"/>
                <w:sz w:val="18"/>
                <w:szCs w:val="18"/>
                <w:lang w:val="en-US" w:eastAsia="zh-CN"/>
              </w:rPr>
              <w:t>要素</w:t>
            </w:r>
          </w:p>
        </w:tc>
        <w:tc>
          <w:tcPr>
            <w:tcW w:w="1319"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权重（B）/%</w:t>
            </w:r>
          </w:p>
        </w:tc>
        <w:tc>
          <w:tcPr>
            <w:tcW w:w="1218" w:type="dxa"/>
            <w:vAlign w:val="center"/>
          </w:tcPr>
          <w:p>
            <w:pPr>
              <w:jc w:val="center"/>
              <w:rPr>
                <w:rFonts w:hint="eastAsia" w:ascii="宋体" w:hAnsi="宋体" w:cs="宋体"/>
                <w:sz w:val="18"/>
                <w:szCs w:val="18"/>
                <w:vertAlign w:val="baseline"/>
              </w:rPr>
            </w:pPr>
            <w:r>
              <w:rPr>
                <w:rFonts w:hint="eastAsia" w:ascii="宋体" w:hAnsi="宋体" w:cs="宋体"/>
                <w:sz w:val="18"/>
                <w:szCs w:val="18"/>
              </w:rPr>
              <w:t>战略治理</w:t>
            </w:r>
            <w:r>
              <w:rPr>
                <w:rFonts w:hint="eastAsia" w:ascii="宋体" w:hAnsi="宋体" w:cs="宋体"/>
                <w:sz w:val="18"/>
                <w:szCs w:val="18"/>
                <w:lang w:eastAsia="zh-CN"/>
              </w:rPr>
              <w:t>要素</w:t>
            </w:r>
            <w:r>
              <w:rPr>
                <w:rFonts w:hint="eastAsia" w:ascii="宋体" w:hAnsi="宋体" w:cs="宋体"/>
                <w:sz w:val="18"/>
                <w:szCs w:val="18"/>
              </w:rPr>
              <w:t>得分(</w:t>
            </w:r>
            <w:r>
              <w:rPr>
                <w:rFonts w:hint="eastAsia" w:ascii="宋体" w:hAnsi="宋体" w:cs="宋体"/>
                <w:sz w:val="18"/>
                <w:szCs w:val="18"/>
                <w:lang w:val="en-US" w:eastAsia="zh-CN"/>
              </w:rPr>
              <w:t>Z</w:t>
            </w: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vAlign w:val="center"/>
          </w:tcPr>
          <w:p>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0.4</w:t>
            </w:r>
          </w:p>
        </w:tc>
        <w:tc>
          <w:tcPr>
            <w:tcW w:w="1216" w:type="dxa"/>
            <w:vMerge w:val="restart"/>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过程优化</w:t>
            </w:r>
          </w:p>
        </w:tc>
        <w:tc>
          <w:tcPr>
            <w:tcW w:w="1216" w:type="dxa"/>
            <w:vMerge w:val="restart"/>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0.2</w:t>
            </w:r>
          </w:p>
        </w:tc>
        <w:tc>
          <w:tcPr>
            <w:tcW w:w="916" w:type="dxa"/>
            <w:vMerge w:val="restart"/>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0.4</w:t>
            </w:r>
          </w:p>
        </w:tc>
        <w:tc>
          <w:tcPr>
            <w:tcW w:w="1415"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过程规划</w:t>
            </w:r>
          </w:p>
        </w:tc>
        <w:tc>
          <w:tcPr>
            <w:tcW w:w="1319" w:type="dxa"/>
            <w:vAlign w:val="center"/>
          </w:tcPr>
          <w:p>
            <w:pPr>
              <w:jc w:val="center"/>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0.25</w:t>
            </w:r>
          </w:p>
        </w:tc>
        <w:tc>
          <w:tcPr>
            <w:tcW w:w="1218" w:type="dxa"/>
            <w:vAlign w:val="center"/>
          </w:tcPr>
          <w:p>
            <w:pPr>
              <w:jc w:val="center"/>
              <w:rPr>
                <w:rFonts w:hint="eastAsia" w:ascii="宋体" w:hAnsi="宋体" w:cs="宋体"/>
                <w:sz w:val="18"/>
                <w:szCs w:val="18"/>
                <w:vertAlign w:val="baseline"/>
              </w:rPr>
            </w:pPr>
            <w:r>
              <w:rPr>
                <w:rFonts w:hint="eastAsia" w:ascii="宋体" w:hAnsi="宋体" w:cs="宋体"/>
                <w:sz w:val="18"/>
                <w:szCs w:val="18"/>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lang w:val="en-US" w:eastAsia="zh-CN"/>
              </w:rPr>
            </w:pPr>
          </w:p>
        </w:tc>
        <w:tc>
          <w:tcPr>
            <w:tcW w:w="1216" w:type="dxa"/>
            <w:vMerge w:val="continue"/>
            <w:vAlign w:val="center"/>
          </w:tcPr>
          <w:p>
            <w:pPr>
              <w:jc w:val="center"/>
              <w:rPr>
                <w:rFonts w:hint="eastAsia" w:ascii="宋体" w:hAnsi="宋体" w:cs="宋体"/>
                <w:sz w:val="18"/>
                <w:szCs w:val="18"/>
                <w:vertAlign w:val="baseline"/>
                <w:lang w:val="en-US" w:eastAsia="zh-CN"/>
              </w:rPr>
            </w:pPr>
          </w:p>
        </w:tc>
        <w:tc>
          <w:tcPr>
            <w:tcW w:w="916" w:type="dxa"/>
            <w:vMerge w:val="continue"/>
            <w:vAlign w:val="center"/>
          </w:tcPr>
          <w:p>
            <w:pPr>
              <w:jc w:val="center"/>
              <w:rPr>
                <w:rFonts w:hint="eastAsia" w:ascii="宋体" w:hAnsi="宋体" w:cs="宋体"/>
                <w:sz w:val="18"/>
                <w:szCs w:val="18"/>
                <w:vertAlign w:val="baseline"/>
                <w:lang w:val="en-US" w:eastAsia="zh-CN"/>
              </w:rPr>
            </w:pPr>
          </w:p>
        </w:tc>
        <w:tc>
          <w:tcPr>
            <w:tcW w:w="1415" w:type="dxa"/>
            <w:vAlign w:val="center"/>
          </w:tcPr>
          <w:p>
            <w:pPr>
              <w:jc w:val="center"/>
              <w:rPr>
                <w:rFonts w:hint="eastAsia" w:ascii="宋体" w:hAnsi="宋体" w:cs="宋体"/>
                <w:sz w:val="18"/>
                <w:szCs w:val="18"/>
                <w:vertAlign w:val="baseline"/>
                <w:lang w:val="en-US" w:eastAsia="zh-CN"/>
              </w:rPr>
            </w:pPr>
            <w:r>
              <w:rPr>
                <w:rFonts w:hint="eastAsia" w:ascii="宋体" w:hAnsi="宋体" w:cs="宋体"/>
                <w:sz w:val="18"/>
                <w:szCs w:val="18"/>
                <w:vertAlign w:val="baseline"/>
                <w:lang w:val="en-US" w:eastAsia="zh-CN"/>
              </w:rPr>
              <w:t>过程管理</w:t>
            </w:r>
          </w:p>
        </w:tc>
        <w:tc>
          <w:tcPr>
            <w:tcW w:w="1319" w:type="dxa"/>
            <w:vAlign w:val="center"/>
          </w:tcPr>
          <w:p>
            <w:pPr>
              <w:jc w:val="center"/>
              <w:rPr>
                <w:rFonts w:hint="eastAsia" w:ascii="宋体" w:hAnsi="宋体" w:cs="宋体"/>
                <w:sz w:val="18"/>
                <w:szCs w:val="18"/>
                <w:vertAlign w:val="baseline"/>
              </w:rPr>
            </w:pPr>
            <w:r>
              <w:rPr>
                <w:rFonts w:hint="eastAsia" w:ascii="宋体" w:hAnsi="宋体" w:cs="宋体"/>
                <w:sz w:val="18"/>
                <w:szCs w:val="18"/>
                <w:vertAlign w:val="baseline"/>
                <w:lang w:val="en-US" w:eastAsia="zh-CN"/>
              </w:rPr>
              <w:t>0.25</w:t>
            </w:r>
          </w:p>
        </w:tc>
        <w:tc>
          <w:tcPr>
            <w:tcW w:w="1218" w:type="dxa"/>
            <w:vAlign w:val="center"/>
          </w:tcPr>
          <w:p>
            <w:pPr>
              <w:jc w:val="center"/>
              <w:rPr>
                <w:rFonts w:hint="eastAsia" w:ascii="宋体" w:hAnsi="宋体" w:cs="宋体"/>
                <w:sz w:val="18"/>
                <w:szCs w:val="18"/>
                <w:vertAlign w:val="baseline"/>
              </w:rPr>
            </w:pPr>
            <w:r>
              <w:rPr>
                <w:rFonts w:hint="eastAsia" w:ascii="宋体" w:hAnsi="宋体" w:cs="宋体"/>
                <w:sz w:val="18"/>
                <w:szCs w:val="18"/>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lang w:val="en-US" w:eastAsia="zh-CN"/>
              </w:rPr>
            </w:pPr>
          </w:p>
        </w:tc>
        <w:tc>
          <w:tcPr>
            <w:tcW w:w="1216" w:type="dxa"/>
            <w:vMerge w:val="continue"/>
            <w:vAlign w:val="center"/>
          </w:tcPr>
          <w:p>
            <w:pPr>
              <w:jc w:val="center"/>
              <w:rPr>
                <w:rFonts w:hint="eastAsia" w:ascii="宋体" w:hAnsi="宋体" w:cs="宋体"/>
                <w:sz w:val="18"/>
                <w:szCs w:val="18"/>
                <w:vertAlign w:val="baseline"/>
                <w:lang w:val="en-US" w:eastAsia="zh-CN"/>
              </w:rPr>
            </w:pPr>
          </w:p>
        </w:tc>
        <w:tc>
          <w:tcPr>
            <w:tcW w:w="916" w:type="dxa"/>
            <w:vMerge w:val="continue"/>
            <w:vAlign w:val="center"/>
          </w:tcPr>
          <w:p>
            <w:pPr>
              <w:jc w:val="center"/>
              <w:rPr>
                <w:rFonts w:hint="eastAsia" w:ascii="宋体" w:hAnsi="宋体" w:cs="宋体"/>
                <w:sz w:val="18"/>
                <w:szCs w:val="18"/>
                <w:vertAlign w:val="baseline"/>
                <w:lang w:val="en-US" w:eastAsia="zh-CN"/>
              </w:rPr>
            </w:pPr>
          </w:p>
        </w:tc>
        <w:tc>
          <w:tcPr>
            <w:tcW w:w="1415" w:type="dxa"/>
            <w:vAlign w:val="center"/>
          </w:tcPr>
          <w:p>
            <w:pPr>
              <w:jc w:val="center"/>
              <w:rPr>
                <w:rFonts w:hint="eastAsia" w:ascii="宋体" w:hAnsi="宋体" w:cs="宋体"/>
                <w:sz w:val="18"/>
                <w:szCs w:val="18"/>
                <w:vertAlign w:val="baseline"/>
                <w:lang w:val="en-US" w:eastAsia="zh-CN"/>
              </w:rPr>
            </w:pPr>
            <w:r>
              <w:rPr>
                <w:rFonts w:hint="eastAsia" w:ascii="宋体" w:hAnsi="宋体" w:cs="宋体"/>
                <w:sz w:val="18"/>
                <w:szCs w:val="18"/>
                <w:vertAlign w:val="baseline"/>
                <w:lang w:val="en-US" w:eastAsia="zh-CN"/>
              </w:rPr>
              <w:t>过程控制</w:t>
            </w:r>
          </w:p>
        </w:tc>
        <w:tc>
          <w:tcPr>
            <w:tcW w:w="1319" w:type="dxa"/>
            <w:vAlign w:val="center"/>
          </w:tcPr>
          <w:p>
            <w:pPr>
              <w:jc w:val="center"/>
              <w:rPr>
                <w:rFonts w:hint="eastAsia" w:ascii="宋体" w:hAnsi="宋体" w:cs="宋体"/>
                <w:sz w:val="18"/>
                <w:szCs w:val="18"/>
                <w:vertAlign w:val="baseline"/>
              </w:rPr>
            </w:pPr>
            <w:r>
              <w:rPr>
                <w:rFonts w:hint="eastAsia" w:ascii="宋体" w:hAnsi="宋体" w:cs="宋体"/>
                <w:sz w:val="18"/>
                <w:szCs w:val="18"/>
                <w:vertAlign w:val="baseline"/>
                <w:lang w:val="en-US" w:eastAsia="zh-CN"/>
              </w:rPr>
              <w:t>0.25</w:t>
            </w:r>
          </w:p>
        </w:tc>
        <w:tc>
          <w:tcPr>
            <w:tcW w:w="1218" w:type="dxa"/>
            <w:vAlign w:val="center"/>
          </w:tcPr>
          <w:p>
            <w:pPr>
              <w:jc w:val="center"/>
              <w:rPr>
                <w:rFonts w:hint="eastAsia" w:ascii="宋体" w:hAnsi="宋体" w:cs="宋体"/>
                <w:sz w:val="18"/>
                <w:szCs w:val="18"/>
                <w:vertAlign w:val="baseline"/>
              </w:rPr>
            </w:pPr>
            <w:r>
              <w:rPr>
                <w:rFonts w:hint="eastAsia" w:ascii="宋体" w:hAnsi="宋体" w:cs="宋体"/>
                <w:sz w:val="18"/>
                <w:szCs w:val="18"/>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lang w:val="en-US" w:eastAsia="zh-CN"/>
              </w:rPr>
            </w:pPr>
          </w:p>
        </w:tc>
        <w:tc>
          <w:tcPr>
            <w:tcW w:w="1216" w:type="dxa"/>
            <w:vMerge w:val="continue"/>
            <w:vAlign w:val="center"/>
          </w:tcPr>
          <w:p>
            <w:pPr>
              <w:jc w:val="center"/>
              <w:rPr>
                <w:rFonts w:hint="eastAsia" w:ascii="宋体" w:hAnsi="宋体" w:cs="宋体"/>
                <w:sz w:val="18"/>
                <w:szCs w:val="18"/>
                <w:vertAlign w:val="baseline"/>
                <w:lang w:val="en-US" w:eastAsia="zh-CN"/>
              </w:rPr>
            </w:pPr>
          </w:p>
        </w:tc>
        <w:tc>
          <w:tcPr>
            <w:tcW w:w="916" w:type="dxa"/>
            <w:vMerge w:val="continue"/>
            <w:vAlign w:val="center"/>
          </w:tcPr>
          <w:p>
            <w:pPr>
              <w:jc w:val="center"/>
              <w:rPr>
                <w:rFonts w:hint="eastAsia" w:ascii="宋体" w:hAnsi="宋体" w:cs="宋体"/>
                <w:sz w:val="18"/>
                <w:szCs w:val="18"/>
                <w:vertAlign w:val="baseline"/>
                <w:lang w:val="en-US" w:eastAsia="zh-CN"/>
              </w:rPr>
            </w:pPr>
          </w:p>
        </w:tc>
        <w:tc>
          <w:tcPr>
            <w:tcW w:w="1415"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过程改进</w:t>
            </w:r>
          </w:p>
        </w:tc>
        <w:tc>
          <w:tcPr>
            <w:tcW w:w="1319"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0.25</w:t>
            </w:r>
          </w:p>
        </w:tc>
        <w:tc>
          <w:tcPr>
            <w:tcW w:w="1218"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hint="eastAsia" w:ascii="宋体" w:hAnsi="宋体" w:cs="宋体"/>
                <w:sz w:val="18"/>
                <w:szCs w:val="18"/>
                <w:vertAlign w:val="baseline"/>
              </w:rPr>
            </w:pPr>
          </w:p>
        </w:tc>
        <w:tc>
          <w:tcPr>
            <w:tcW w:w="1216" w:type="dxa"/>
            <w:vMerge w:val="restart"/>
            <w:vAlign w:val="center"/>
          </w:tcPr>
          <w:p>
            <w:pPr>
              <w:jc w:val="center"/>
              <w:rPr>
                <w:rFonts w:hint="default" w:ascii="宋体" w:hAnsi="宋体" w:cs="宋体"/>
                <w:sz w:val="18"/>
                <w:szCs w:val="18"/>
                <w:vertAlign w:val="baseline"/>
                <w:lang w:val="en-US" w:eastAsia="zh-CN"/>
              </w:rPr>
            </w:pPr>
            <w:r>
              <w:rPr>
                <w:rFonts w:hint="eastAsia" w:ascii="宋体" w:hAnsi="宋体" w:cs="宋体"/>
                <w:sz w:val="18"/>
                <w:szCs w:val="18"/>
                <w:vertAlign w:val="baseline"/>
                <w:lang w:val="en-US" w:eastAsia="zh-CN"/>
              </w:rPr>
              <w:t>创新发展</w:t>
            </w:r>
          </w:p>
        </w:tc>
        <w:tc>
          <w:tcPr>
            <w:tcW w:w="1216" w:type="dxa"/>
            <w:vMerge w:val="restart"/>
            <w:vAlign w:val="center"/>
          </w:tcPr>
          <w:p>
            <w:pPr>
              <w:jc w:val="center"/>
              <w:rPr>
                <w:rFonts w:hint="default" w:ascii="宋体" w:hAnsi="宋体" w:cs="宋体"/>
                <w:sz w:val="18"/>
                <w:szCs w:val="18"/>
                <w:vertAlign w:val="baseline"/>
                <w:lang w:val="en-US" w:eastAsia="zh-CN"/>
              </w:rPr>
            </w:pPr>
            <w:r>
              <w:rPr>
                <w:rFonts w:hint="eastAsia" w:ascii="宋体" w:hAnsi="宋体" w:cs="宋体"/>
                <w:sz w:val="18"/>
                <w:szCs w:val="18"/>
                <w:vertAlign w:val="baseline"/>
                <w:lang w:val="en-US" w:eastAsia="zh-CN"/>
              </w:rPr>
              <w:t>0.2</w:t>
            </w:r>
          </w:p>
        </w:tc>
        <w:tc>
          <w:tcPr>
            <w:tcW w:w="916" w:type="dxa"/>
            <w:vMerge w:val="restart"/>
            <w:vAlign w:val="center"/>
          </w:tcPr>
          <w:p>
            <w:pPr>
              <w:jc w:val="center"/>
              <w:rPr>
                <w:rFonts w:hint="default" w:ascii="宋体" w:hAnsi="宋体" w:cs="宋体"/>
                <w:sz w:val="18"/>
                <w:szCs w:val="18"/>
                <w:vertAlign w:val="baseline"/>
                <w:lang w:val="en-US" w:eastAsia="zh-CN"/>
              </w:rPr>
            </w:pPr>
            <w:r>
              <w:rPr>
                <w:rFonts w:hint="eastAsia" w:ascii="宋体" w:hAnsi="宋体" w:cs="宋体"/>
                <w:sz w:val="18"/>
                <w:szCs w:val="18"/>
                <w:vertAlign w:val="baseline"/>
                <w:lang w:val="en-US" w:eastAsia="zh-CN"/>
              </w:rPr>
              <w:t>0.4</w:t>
            </w:r>
          </w:p>
        </w:tc>
        <w:tc>
          <w:tcPr>
            <w:tcW w:w="1415"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文化建设</w:t>
            </w:r>
          </w:p>
        </w:tc>
        <w:tc>
          <w:tcPr>
            <w:tcW w:w="1319"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0.25</w:t>
            </w:r>
          </w:p>
        </w:tc>
        <w:tc>
          <w:tcPr>
            <w:tcW w:w="1218"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lang w:val="en-US" w:eastAsia="zh-CN"/>
              </w:rPr>
            </w:pPr>
          </w:p>
        </w:tc>
        <w:tc>
          <w:tcPr>
            <w:tcW w:w="1216" w:type="dxa"/>
            <w:vMerge w:val="continue"/>
            <w:vAlign w:val="center"/>
          </w:tcPr>
          <w:p>
            <w:pPr>
              <w:jc w:val="center"/>
              <w:rPr>
                <w:rFonts w:hint="eastAsia" w:ascii="宋体" w:hAnsi="宋体" w:cs="宋体"/>
                <w:sz w:val="18"/>
                <w:szCs w:val="18"/>
                <w:vertAlign w:val="baseline"/>
                <w:lang w:val="en-US" w:eastAsia="zh-CN"/>
              </w:rPr>
            </w:pPr>
          </w:p>
        </w:tc>
        <w:tc>
          <w:tcPr>
            <w:tcW w:w="916" w:type="dxa"/>
            <w:vMerge w:val="continue"/>
            <w:vAlign w:val="center"/>
          </w:tcPr>
          <w:p>
            <w:pPr>
              <w:jc w:val="center"/>
              <w:rPr>
                <w:rFonts w:hint="eastAsia" w:ascii="宋体" w:hAnsi="宋体" w:cs="宋体"/>
                <w:sz w:val="18"/>
                <w:szCs w:val="18"/>
                <w:vertAlign w:val="baseline"/>
                <w:lang w:val="en-US" w:eastAsia="zh-CN"/>
              </w:rPr>
            </w:pPr>
          </w:p>
        </w:tc>
        <w:tc>
          <w:tcPr>
            <w:tcW w:w="1415"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知识研究</w:t>
            </w:r>
          </w:p>
        </w:tc>
        <w:tc>
          <w:tcPr>
            <w:tcW w:w="1319"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0.25</w:t>
            </w:r>
          </w:p>
        </w:tc>
        <w:tc>
          <w:tcPr>
            <w:tcW w:w="1218"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lang w:val="en-US" w:eastAsia="zh-CN"/>
              </w:rPr>
            </w:pPr>
          </w:p>
        </w:tc>
        <w:tc>
          <w:tcPr>
            <w:tcW w:w="1216" w:type="dxa"/>
            <w:vMerge w:val="continue"/>
            <w:vAlign w:val="center"/>
          </w:tcPr>
          <w:p>
            <w:pPr>
              <w:jc w:val="center"/>
              <w:rPr>
                <w:rFonts w:hint="eastAsia" w:ascii="宋体" w:hAnsi="宋体" w:cs="宋体"/>
                <w:sz w:val="18"/>
                <w:szCs w:val="18"/>
                <w:vertAlign w:val="baseline"/>
                <w:lang w:val="en-US" w:eastAsia="zh-CN"/>
              </w:rPr>
            </w:pPr>
          </w:p>
        </w:tc>
        <w:tc>
          <w:tcPr>
            <w:tcW w:w="916" w:type="dxa"/>
            <w:vMerge w:val="continue"/>
            <w:vAlign w:val="center"/>
          </w:tcPr>
          <w:p>
            <w:pPr>
              <w:jc w:val="center"/>
              <w:rPr>
                <w:rFonts w:hint="eastAsia" w:ascii="宋体" w:hAnsi="宋体" w:cs="宋体"/>
                <w:sz w:val="18"/>
                <w:szCs w:val="18"/>
                <w:vertAlign w:val="baseline"/>
                <w:lang w:val="en-US" w:eastAsia="zh-CN"/>
              </w:rPr>
            </w:pPr>
          </w:p>
        </w:tc>
        <w:tc>
          <w:tcPr>
            <w:tcW w:w="1415"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学习成长</w:t>
            </w:r>
          </w:p>
        </w:tc>
        <w:tc>
          <w:tcPr>
            <w:tcW w:w="1319"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0.25</w:t>
            </w:r>
          </w:p>
        </w:tc>
        <w:tc>
          <w:tcPr>
            <w:tcW w:w="1218"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jc w:val="center"/>
              <w:rPr>
                <w:rFonts w:hint="eastAsia" w:ascii="宋体" w:hAnsi="宋体" w:cs="宋体"/>
                <w:sz w:val="18"/>
                <w:szCs w:val="18"/>
                <w:vertAlign w:val="baseline"/>
              </w:rPr>
            </w:pPr>
          </w:p>
        </w:tc>
        <w:tc>
          <w:tcPr>
            <w:tcW w:w="1216" w:type="dxa"/>
            <w:vMerge w:val="continue"/>
            <w:vAlign w:val="center"/>
          </w:tcPr>
          <w:p>
            <w:pPr>
              <w:jc w:val="center"/>
              <w:rPr>
                <w:rFonts w:hint="eastAsia" w:ascii="宋体" w:hAnsi="宋体" w:cs="宋体"/>
                <w:sz w:val="18"/>
                <w:szCs w:val="18"/>
                <w:vertAlign w:val="baseline"/>
                <w:lang w:val="en-US" w:eastAsia="zh-CN"/>
              </w:rPr>
            </w:pPr>
          </w:p>
        </w:tc>
        <w:tc>
          <w:tcPr>
            <w:tcW w:w="1216" w:type="dxa"/>
            <w:vMerge w:val="continue"/>
            <w:vAlign w:val="center"/>
          </w:tcPr>
          <w:p>
            <w:pPr>
              <w:jc w:val="center"/>
              <w:rPr>
                <w:rFonts w:hint="eastAsia" w:ascii="宋体" w:hAnsi="宋体" w:cs="宋体"/>
                <w:sz w:val="18"/>
                <w:szCs w:val="18"/>
                <w:vertAlign w:val="baseline"/>
                <w:lang w:val="en-US" w:eastAsia="zh-CN"/>
              </w:rPr>
            </w:pPr>
          </w:p>
        </w:tc>
        <w:tc>
          <w:tcPr>
            <w:tcW w:w="916" w:type="dxa"/>
            <w:vMerge w:val="continue"/>
            <w:vAlign w:val="center"/>
          </w:tcPr>
          <w:p>
            <w:pPr>
              <w:jc w:val="center"/>
              <w:rPr>
                <w:rFonts w:hint="eastAsia" w:ascii="宋体" w:hAnsi="宋体" w:cs="宋体"/>
                <w:sz w:val="18"/>
                <w:szCs w:val="18"/>
                <w:vertAlign w:val="baseline"/>
                <w:lang w:val="en-US" w:eastAsia="zh-CN"/>
              </w:rPr>
            </w:pPr>
          </w:p>
        </w:tc>
        <w:tc>
          <w:tcPr>
            <w:tcW w:w="1415"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创新机制</w:t>
            </w:r>
          </w:p>
        </w:tc>
        <w:tc>
          <w:tcPr>
            <w:tcW w:w="1319"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0.25</w:t>
            </w:r>
          </w:p>
        </w:tc>
        <w:tc>
          <w:tcPr>
            <w:tcW w:w="1218" w:type="dxa"/>
            <w:vAlign w:val="center"/>
          </w:tcPr>
          <w:p>
            <w:pPr>
              <w:jc w:val="center"/>
              <w:rPr>
                <w:rFonts w:hint="eastAsia"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0.4</w:t>
            </w:r>
          </w:p>
        </w:tc>
      </w:tr>
    </w:tbl>
    <w:p>
      <w:pPr>
        <w:pStyle w:val="2"/>
        <w:rPr>
          <w:rFonts w:hint="eastAsia"/>
          <w:lang w:val="en-US" w:eastAsia="zh-CN"/>
        </w:rPr>
      </w:pPr>
    </w:p>
    <w:p>
      <w:pPr>
        <w:pStyle w:val="18"/>
        <w:bidi w:val="0"/>
        <w:rPr>
          <w:rFonts w:hint="default"/>
          <w:lang w:val="en-US" w:eastAsia="zh-CN"/>
        </w:rPr>
      </w:pPr>
      <w:r>
        <w:rPr>
          <w:rFonts w:hint="eastAsia"/>
          <w:lang w:val="en-US" w:eastAsia="zh-CN"/>
        </w:rPr>
        <w:t>IT治理评价要素成熟度等级划分</w:t>
      </w:r>
    </w:p>
    <w:p>
      <w:pPr>
        <w:pStyle w:val="3"/>
        <w:ind w:firstLine="420" w:firstLineChars="200"/>
        <w:jc w:val="both"/>
        <w:rPr>
          <w:rFonts w:hint="eastAsia" w:ascii="宋体" w:hAnsi="Calibri" w:eastAsia="宋体" w:cs="Times New Roman"/>
          <w:spacing w:val="0"/>
          <w:kern w:val="0"/>
          <w:sz w:val="21"/>
          <w:szCs w:val="20"/>
          <w:lang w:val="en-US" w:eastAsia="zh-CN" w:bidi="ar-SA"/>
        </w:rPr>
      </w:pPr>
      <w:r>
        <w:rPr>
          <w:rFonts w:hint="eastAsia" w:ascii="宋体" w:hAnsi="Calibri" w:eastAsia="宋体" w:cs="Times New Roman"/>
          <w:spacing w:val="0"/>
          <w:kern w:val="0"/>
          <w:sz w:val="21"/>
          <w:szCs w:val="20"/>
          <w:lang w:val="en-US" w:eastAsia="zh-CN" w:bidi="ar-SA"/>
        </w:rPr>
        <w:t>IT治理评价要素成熟度等级划分：</w:t>
      </w:r>
    </w:p>
    <w:p>
      <w:pPr>
        <w:pStyle w:val="3"/>
        <w:numPr>
          <w:ilvl w:val="0"/>
          <w:numId w:val="5"/>
        </w:numPr>
        <w:ind w:firstLine="420" w:firstLineChars="200"/>
        <w:jc w:val="both"/>
        <w:rPr>
          <w:rFonts w:hint="eastAsia" w:ascii="宋体" w:hAnsi="Calibri" w:eastAsia="宋体" w:cs="Times New Roman"/>
          <w:spacing w:val="0"/>
          <w:kern w:val="0"/>
          <w:sz w:val="21"/>
          <w:szCs w:val="20"/>
          <w:lang w:val="en-US" w:eastAsia="zh-CN" w:bidi="ar-SA"/>
        </w:rPr>
      </w:pPr>
      <w:r>
        <w:rPr>
          <w:rFonts w:hint="eastAsia" w:ascii="宋体" w:hAnsi="Calibri" w:eastAsia="宋体" w:cs="Times New Roman"/>
          <w:spacing w:val="0"/>
          <w:kern w:val="0"/>
          <w:sz w:val="21"/>
          <w:szCs w:val="20"/>
          <w:lang w:val="en-US" w:eastAsia="zh-CN" w:bidi="ar-SA"/>
        </w:rPr>
        <w:t>0</w:t>
      </w:r>
      <w:r>
        <w:rPr>
          <w:rFonts w:hint="default" w:ascii="宋体" w:hAnsi="Calibri" w:eastAsia="宋体" w:cs="Times New Roman"/>
          <w:spacing w:val="0"/>
          <w:kern w:val="0"/>
          <w:sz w:val="21"/>
          <w:szCs w:val="20"/>
          <w:lang w:val="en-US" w:eastAsia="zh-CN" w:bidi="ar-SA"/>
        </w:rPr>
        <w:t>≤</w:t>
      </w:r>
      <w:r>
        <w:rPr>
          <w:rFonts w:hint="eastAsia" w:ascii="宋体" w:hAnsi="Calibri" w:eastAsia="宋体" w:cs="Times New Roman"/>
          <w:spacing w:val="0"/>
          <w:kern w:val="0"/>
          <w:sz w:val="21"/>
          <w:szCs w:val="20"/>
          <w:lang w:val="en-US" w:eastAsia="zh-CN" w:bidi="ar-SA"/>
        </w:rPr>
        <w:t xml:space="preserve"> </w:t>
      </w:r>
      <w:r>
        <w:rPr>
          <w:rFonts w:hint="eastAsia" w:ascii="宋体" w:hAnsi="宋体" w:cs="宋体"/>
        </w:rPr>
        <w:t>X</w:t>
      </w:r>
      <w:r>
        <w:rPr>
          <w:rFonts w:hint="eastAsia" w:ascii="宋体" w:hAnsi="Calibri" w:eastAsia="宋体" w:cs="Times New Roman"/>
          <w:spacing w:val="0"/>
          <w:kern w:val="0"/>
          <w:sz w:val="21"/>
          <w:szCs w:val="20"/>
          <w:lang w:val="en-US" w:eastAsia="zh-CN" w:bidi="ar-SA"/>
        </w:rPr>
        <w:t xml:space="preserve"> &lt;0.2：IT治理要素成熟度属于初始级；</w:t>
      </w:r>
    </w:p>
    <w:p>
      <w:pPr>
        <w:pStyle w:val="3"/>
        <w:numPr>
          <w:ilvl w:val="0"/>
          <w:numId w:val="5"/>
        </w:numPr>
        <w:ind w:left="0" w:leftChars="0" w:firstLine="420" w:firstLineChars="200"/>
        <w:jc w:val="both"/>
        <w:rPr>
          <w:rFonts w:hint="eastAsia" w:ascii="宋体" w:hAnsi="Calibri" w:eastAsia="宋体" w:cs="Times New Roman"/>
          <w:spacing w:val="0"/>
          <w:kern w:val="0"/>
          <w:sz w:val="21"/>
          <w:szCs w:val="20"/>
          <w:lang w:val="en-US" w:eastAsia="zh-CN" w:bidi="ar-SA"/>
        </w:rPr>
      </w:pPr>
      <w:r>
        <w:rPr>
          <w:rFonts w:hint="eastAsia" w:ascii="宋体" w:hAnsi="Calibri" w:eastAsia="宋体" w:cs="Times New Roman"/>
          <w:spacing w:val="0"/>
          <w:kern w:val="0"/>
          <w:sz w:val="21"/>
          <w:szCs w:val="20"/>
          <w:lang w:val="en-US" w:eastAsia="zh-CN" w:bidi="ar-SA"/>
        </w:rPr>
        <w:t>0.2</w:t>
      </w:r>
      <w:r>
        <w:rPr>
          <w:rFonts w:hint="default" w:ascii="宋体" w:hAnsi="Calibri" w:eastAsia="宋体" w:cs="Times New Roman"/>
          <w:spacing w:val="0"/>
          <w:kern w:val="0"/>
          <w:sz w:val="21"/>
          <w:szCs w:val="20"/>
          <w:lang w:val="en-US" w:eastAsia="zh-CN" w:bidi="ar-SA"/>
        </w:rPr>
        <w:t>≤</w:t>
      </w:r>
      <w:r>
        <w:rPr>
          <w:rFonts w:hint="eastAsia" w:ascii="宋体" w:hAnsi="Calibri" w:eastAsia="宋体" w:cs="Times New Roman"/>
          <w:spacing w:val="0"/>
          <w:kern w:val="0"/>
          <w:sz w:val="21"/>
          <w:szCs w:val="20"/>
          <w:lang w:val="en-US" w:eastAsia="zh-CN" w:bidi="ar-SA"/>
        </w:rPr>
        <w:t xml:space="preserve"> </w:t>
      </w:r>
      <w:r>
        <w:rPr>
          <w:rFonts w:hint="eastAsia" w:ascii="宋体" w:hAnsi="宋体" w:cs="宋体"/>
        </w:rPr>
        <w:t>X</w:t>
      </w:r>
      <w:r>
        <w:rPr>
          <w:rFonts w:hint="eastAsia" w:ascii="宋体" w:hAnsi="Calibri" w:eastAsia="宋体" w:cs="Times New Roman"/>
          <w:spacing w:val="0"/>
          <w:kern w:val="0"/>
          <w:sz w:val="21"/>
          <w:szCs w:val="20"/>
          <w:lang w:val="en-US" w:eastAsia="zh-CN" w:bidi="ar-SA"/>
        </w:rPr>
        <w:t xml:space="preserve"> &lt;0.4：IT治理要素成熟度属于经验级；</w:t>
      </w:r>
    </w:p>
    <w:p>
      <w:pPr>
        <w:pStyle w:val="3"/>
        <w:numPr>
          <w:ilvl w:val="0"/>
          <w:numId w:val="5"/>
        </w:numPr>
        <w:ind w:left="0" w:leftChars="0" w:firstLine="420" w:firstLineChars="200"/>
        <w:jc w:val="both"/>
        <w:rPr>
          <w:rFonts w:hint="default" w:ascii="宋体" w:hAnsi="Calibri" w:eastAsia="宋体" w:cs="Times New Roman"/>
          <w:spacing w:val="0"/>
          <w:kern w:val="0"/>
          <w:sz w:val="21"/>
          <w:szCs w:val="20"/>
          <w:lang w:val="en-US" w:eastAsia="zh-CN" w:bidi="ar-SA"/>
        </w:rPr>
      </w:pPr>
      <w:r>
        <w:rPr>
          <w:rFonts w:hint="eastAsia" w:ascii="宋体" w:hAnsi="Calibri" w:eastAsia="宋体" w:cs="Times New Roman"/>
          <w:spacing w:val="0"/>
          <w:kern w:val="0"/>
          <w:sz w:val="21"/>
          <w:szCs w:val="20"/>
          <w:lang w:val="en-US" w:eastAsia="zh-CN" w:bidi="ar-SA"/>
        </w:rPr>
        <w:t>0.4</w:t>
      </w:r>
      <w:r>
        <w:rPr>
          <w:rFonts w:hint="default" w:ascii="宋体" w:hAnsi="Calibri" w:eastAsia="宋体" w:cs="Times New Roman"/>
          <w:spacing w:val="0"/>
          <w:kern w:val="0"/>
          <w:sz w:val="21"/>
          <w:szCs w:val="20"/>
          <w:lang w:val="en-US" w:eastAsia="zh-CN" w:bidi="ar-SA"/>
        </w:rPr>
        <w:t>≤</w:t>
      </w:r>
      <w:r>
        <w:rPr>
          <w:rFonts w:hint="eastAsia" w:ascii="宋体" w:hAnsi="Calibri" w:eastAsia="宋体" w:cs="Times New Roman"/>
          <w:spacing w:val="0"/>
          <w:kern w:val="0"/>
          <w:sz w:val="21"/>
          <w:szCs w:val="20"/>
          <w:lang w:val="en-US" w:eastAsia="zh-CN" w:bidi="ar-SA"/>
        </w:rPr>
        <w:t xml:space="preserve"> </w:t>
      </w:r>
      <w:r>
        <w:rPr>
          <w:rFonts w:hint="eastAsia" w:ascii="宋体" w:hAnsi="宋体" w:cs="宋体"/>
        </w:rPr>
        <w:t>X</w:t>
      </w:r>
      <w:r>
        <w:rPr>
          <w:rFonts w:hint="eastAsia" w:ascii="宋体" w:hAnsi="Calibri" w:eastAsia="宋体" w:cs="Times New Roman"/>
          <w:spacing w:val="0"/>
          <w:kern w:val="0"/>
          <w:sz w:val="21"/>
          <w:szCs w:val="20"/>
          <w:lang w:val="en-US" w:eastAsia="zh-CN" w:bidi="ar-SA"/>
        </w:rPr>
        <w:t xml:space="preserve"> &lt;0.6：IT治理要素成熟度属于已定义级；</w:t>
      </w:r>
    </w:p>
    <w:p>
      <w:pPr>
        <w:pStyle w:val="3"/>
        <w:numPr>
          <w:ilvl w:val="0"/>
          <w:numId w:val="5"/>
        </w:numPr>
        <w:ind w:left="0" w:leftChars="0" w:firstLine="420" w:firstLineChars="200"/>
        <w:jc w:val="both"/>
        <w:rPr>
          <w:rFonts w:hint="eastAsia" w:ascii="宋体" w:hAnsi="Calibri" w:eastAsia="宋体" w:cs="Times New Roman"/>
          <w:spacing w:val="0"/>
          <w:kern w:val="0"/>
          <w:sz w:val="21"/>
          <w:szCs w:val="20"/>
          <w:lang w:val="en-US" w:eastAsia="zh-CN" w:bidi="ar-SA"/>
        </w:rPr>
      </w:pPr>
      <w:r>
        <w:rPr>
          <w:rFonts w:hint="eastAsia" w:ascii="宋体" w:hAnsi="Calibri" w:eastAsia="宋体" w:cs="Times New Roman"/>
          <w:spacing w:val="0"/>
          <w:kern w:val="0"/>
          <w:sz w:val="21"/>
          <w:szCs w:val="20"/>
          <w:lang w:val="en-US" w:eastAsia="zh-CN" w:bidi="ar-SA"/>
        </w:rPr>
        <w:t>0.6</w:t>
      </w:r>
      <w:r>
        <w:rPr>
          <w:rFonts w:hint="default" w:ascii="宋体" w:hAnsi="Calibri" w:eastAsia="宋体" w:cs="Times New Roman"/>
          <w:spacing w:val="0"/>
          <w:kern w:val="0"/>
          <w:sz w:val="21"/>
          <w:szCs w:val="20"/>
          <w:lang w:val="en-US" w:eastAsia="zh-CN" w:bidi="ar-SA"/>
        </w:rPr>
        <w:t>≤</w:t>
      </w:r>
      <w:r>
        <w:rPr>
          <w:rFonts w:hint="eastAsia" w:ascii="宋体" w:hAnsi="Calibri" w:eastAsia="宋体" w:cs="Times New Roman"/>
          <w:spacing w:val="0"/>
          <w:kern w:val="0"/>
          <w:sz w:val="21"/>
          <w:szCs w:val="20"/>
          <w:lang w:val="en-US" w:eastAsia="zh-CN" w:bidi="ar-SA"/>
        </w:rPr>
        <w:t xml:space="preserve"> </w:t>
      </w:r>
      <w:r>
        <w:rPr>
          <w:rFonts w:hint="eastAsia" w:ascii="宋体" w:hAnsi="宋体" w:cs="宋体"/>
        </w:rPr>
        <w:t>X</w:t>
      </w:r>
      <w:r>
        <w:rPr>
          <w:rFonts w:hint="eastAsia" w:ascii="宋体" w:hAnsi="Calibri" w:eastAsia="宋体" w:cs="Times New Roman"/>
          <w:spacing w:val="0"/>
          <w:kern w:val="0"/>
          <w:sz w:val="21"/>
          <w:szCs w:val="20"/>
          <w:lang w:val="en-US" w:eastAsia="zh-CN" w:bidi="ar-SA"/>
        </w:rPr>
        <w:t xml:space="preserve"> &lt;0.8：IT治理要素成熟度属于已管理级；</w:t>
      </w:r>
    </w:p>
    <w:p>
      <w:pPr>
        <w:pStyle w:val="3"/>
        <w:numPr>
          <w:ilvl w:val="0"/>
          <w:numId w:val="5"/>
        </w:numPr>
        <w:ind w:left="0" w:leftChars="0" w:firstLine="420" w:firstLineChars="200"/>
        <w:jc w:val="both"/>
        <w:rPr>
          <w:rFonts w:hint="eastAsia" w:ascii="宋体" w:hAnsi="Calibri" w:eastAsia="宋体" w:cs="Times New Roman"/>
          <w:spacing w:val="0"/>
          <w:kern w:val="0"/>
          <w:sz w:val="21"/>
          <w:szCs w:val="20"/>
          <w:lang w:val="en-US" w:eastAsia="zh-CN" w:bidi="ar-SA"/>
        </w:rPr>
      </w:pPr>
      <w:r>
        <w:rPr>
          <w:rFonts w:hint="eastAsia" w:ascii="宋体" w:hAnsi="Calibri" w:eastAsia="宋体" w:cs="Times New Roman"/>
          <w:spacing w:val="0"/>
          <w:kern w:val="0"/>
          <w:sz w:val="21"/>
          <w:szCs w:val="20"/>
          <w:lang w:val="en-US" w:eastAsia="zh-CN" w:bidi="ar-SA"/>
        </w:rPr>
        <w:t>0.8</w:t>
      </w:r>
      <w:r>
        <w:rPr>
          <w:rFonts w:hint="default" w:ascii="宋体" w:hAnsi="Calibri" w:eastAsia="宋体" w:cs="Times New Roman"/>
          <w:spacing w:val="0"/>
          <w:kern w:val="0"/>
          <w:sz w:val="21"/>
          <w:szCs w:val="20"/>
          <w:lang w:val="en-US" w:eastAsia="zh-CN" w:bidi="ar-SA"/>
        </w:rPr>
        <w:t>≤</w:t>
      </w:r>
      <w:r>
        <w:rPr>
          <w:rFonts w:hint="eastAsia" w:ascii="宋体" w:hAnsi="Calibri" w:eastAsia="宋体" w:cs="Times New Roman"/>
          <w:spacing w:val="0"/>
          <w:kern w:val="0"/>
          <w:sz w:val="21"/>
          <w:szCs w:val="20"/>
          <w:lang w:val="en-US" w:eastAsia="zh-CN" w:bidi="ar-SA"/>
        </w:rPr>
        <w:t xml:space="preserve"> </w:t>
      </w:r>
      <w:r>
        <w:rPr>
          <w:rFonts w:hint="eastAsia" w:ascii="宋体" w:hAnsi="宋体" w:cs="宋体"/>
        </w:rPr>
        <w:t>X</w:t>
      </w:r>
      <w:r>
        <w:rPr>
          <w:rFonts w:hint="eastAsia" w:ascii="宋体" w:hAnsi="Calibri" w:eastAsia="宋体" w:cs="Times New Roman"/>
          <w:spacing w:val="0"/>
          <w:kern w:val="0"/>
          <w:sz w:val="21"/>
          <w:szCs w:val="20"/>
          <w:lang w:val="en-US" w:eastAsia="zh-CN" w:bidi="ar-SA"/>
        </w:rPr>
        <w:t xml:space="preserve"> ：IT治理要素成熟度属于优化级。</w:t>
      </w:r>
    </w:p>
    <w:p>
      <w:pPr>
        <w:pStyle w:val="17"/>
        <w:bidi w:val="0"/>
        <w:rPr>
          <w:rFonts w:hint="default"/>
          <w:lang w:val="en-US" w:eastAsia="zh-CN"/>
        </w:rPr>
      </w:pPr>
      <w:r>
        <w:rPr>
          <w:rFonts w:hint="eastAsia"/>
          <w:lang w:val="en-US" w:eastAsia="zh-CN"/>
        </w:rPr>
        <w:t>IT治理能力成熟度</w:t>
      </w:r>
    </w:p>
    <w:p>
      <w:pPr>
        <w:pStyle w:val="15"/>
        <w:rPr>
          <w:rFonts w:hint="default"/>
          <w:lang w:val="en-US" w:eastAsia="zh-CN"/>
        </w:rPr>
      </w:pPr>
      <w:r>
        <w:rPr>
          <w:rFonts w:hint="eastAsia"/>
          <w:highlight w:val="none"/>
          <w:lang w:val="en-US" w:eastAsia="zh-CN"/>
        </w:rPr>
        <w:t>IT治理能力成熟度应满足GB/T 34960.3-2017中附录B的要求</w:t>
      </w:r>
    </w:p>
    <w:p>
      <w:pPr>
        <w:pStyle w:val="16"/>
        <w:spacing w:before="156" w:after="156"/>
        <w:outlineLvl w:val="1"/>
        <w:rPr>
          <w:rFonts w:hint="eastAsia"/>
          <w:lang w:val="en-US" w:eastAsia="zh-CN"/>
        </w:rPr>
      </w:pPr>
      <w:bookmarkStart w:id="126" w:name="_Toc15129"/>
      <w:bookmarkStart w:id="127" w:name="_Toc9873"/>
      <w:r>
        <w:rPr>
          <w:rFonts w:hint="eastAsia"/>
          <w:lang w:val="en-US" w:eastAsia="zh-CN"/>
        </w:rPr>
        <w:t>执行评价</w:t>
      </w:r>
      <w:bookmarkEnd w:id="126"/>
      <w:bookmarkEnd w:id="127"/>
    </w:p>
    <w:p>
      <w:pPr>
        <w:pStyle w:val="15"/>
        <w:rPr>
          <w:rFonts w:hint="eastAsia" w:ascii="宋体" w:hAnsi="宋体" w:eastAsia="宋体" w:cs="宋体"/>
          <w:b w:val="0"/>
          <w:spacing w:val="0"/>
          <w:kern w:val="0"/>
          <w:sz w:val="21"/>
          <w:szCs w:val="21"/>
          <w:lang w:val="en-US" w:eastAsia="zh-CN" w:bidi="ar-SA"/>
        </w:rPr>
      </w:pPr>
      <w:bookmarkStart w:id="128" w:name="_Toc22363"/>
      <w:bookmarkStart w:id="129" w:name="_Toc19505"/>
      <w:bookmarkStart w:id="130" w:name="_Toc17295"/>
      <w:bookmarkStart w:id="131" w:name="_Toc31431"/>
      <w:r>
        <w:rPr>
          <w:rFonts w:hint="eastAsia" w:hAnsi="宋体" w:cs="宋体"/>
          <w:b w:val="0"/>
          <w:spacing w:val="0"/>
          <w:kern w:val="0"/>
          <w:sz w:val="21"/>
          <w:szCs w:val="21"/>
          <w:lang w:val="en-US" w:eastAsia="zh-CN" w:bidi="ar-SA"/>
        </w:rPr>
        <w:t>执行</w:t>
      </w:r>
      <w:r>
        <w:rPr>
          <w:rFonts w:hint="eastAsia" w:ascii="宋体" w:hAnsi="宋体" w:eastAsia="宋体" w:cs="宋体"/>
          <w:b w:val="0"/>
          <w:spacing w:val="0"/>
          <w:kern w:val="0"/>
          <w:sz w:val="21"/>
          <w:szCs w:val="21"/>
          <w:lang w:val="en-US" w:eastAsia="zh-CN" w:bidi="ar-SA"/>
        </w:rPr>
        <w:t>评价</w:t>
      </w:r>
      <w:r>
        <w:rPr>
          <w:rFonts w:hint="eastAsia" w:hAnsi="宋体" w:cs="宋体"/>
          <w:b w:val="0"/>
          <w:spacing w:val="0"/>
          <w:kern w:val="0"/>
          <w:sz w:val="21"/>
          <w:szCs w:val="21"/>
          <w:lang w:val="en-US" w:eastAsia="zh-CN" w:bidi="ar-SA"/>
        </w:rPr>
        <w:t>应满足</w:t>
      </w:r>
      <w:r>
        <w:rPr>
          <w:rFonts w:hint="eastAsia" w:ascii="宋体" w:hAnsi="Calibri" w:eastAsia="宋体" w:cs="Times New Roman"/>
          <w:spacing w:val="0"/>
          <w:sz w:val="21"/>
          <w:szCs w:val="24"/>
          <w:lang w:val="en-US" w:eastAsia="zh-CN" w:bidi="ar-SA"/>
        </w:rPr>
        <w:t>GB/T 34960.3-2017中</w:t>
      </w:r>
      <w:r>
        <w:rPr>
          <w:rFonts w:hint="eastAsia" w:cs="Times New Roman"/>
          <w:spacing w:val="0"/>
          <w:sz w:val="21"/>
          <w:szCs w:val="24"/>
          <w:lang w:val="en-US" w:eastAsia="zh-CN" w:bidi="ar-SA"/>
        </w:rPr>
        <w:t>7.7</w:t>
      </w:r>
      <w:r>
        <w:rPr>
          <w:rFonts w:hint="eastAsia" w:ascii="宋体" w:hAnsi="Calibri" w:eastAsia="宋体" w:cs="Times New Roman"/>
          <w:spacing w:val="0"/>
          <w:sz w:val="21"/>
          <w:szCs w:val="24"/>
          <w:lang w:val="en-US" w:eastAsia="zh-CN" w:bidi="ar-SA"/>
        </w:rPr>
        <w:t>的要求</w:t>
      </w:r>
      <w:r>
        <w:rPr>
          <w:rFonts w:hint="eastAsia" w:ascii="宋体" w:hAnsi="宋体" w:eastAsia="宋体" w:cs="宋体"/>
          <w:b w:val="0"/>
          <w:spacing w:val="0"/>
          <w:kern w:val="0"/>
          <w:sz w:val="21"/>
          <w:szCs w:val="21"/>
          <w:lang w:val="en-US" w:eastAsia="zh-CN" w:bidi="ar-SA"/>
        </w:rPr>
        <w:t>。</w:t>
      </w:r>
      <w:bookmarkEnd w:id="128"/>
      <w:bookmarkEnd w:id="129"/>
      <w:bookmarkEnd w:id="130"/>
      <w:bookmarkEnd w:id="131"/>
    </w:p>
    <w:bookmarkEnd w:id="41"/>
    <w:bookmarkEnd w:id="42"/>
    <w:bookmarkEnd w:id="87"/>
    <w:bookmarkEnd w:id="88"/>
    <w:p>
      <w:pPr>
        <w:rPr>
          <w:rFonts w:hint="eastAsia"/>
          <w:lang w:val="en-US" w:eastAsia="zh-CN"/>
        </w:rPr>
      </w:pPr>
      <w:bookmarkStart w:id="132" w:name="BKCKWX"/>
      <w:r>
        <w:rPr>
          <w:rFonts w:hint="eastAsia"/>
          <w:lang w:val="en-US" w:eastAsia="zh-CN"/>
        </w:rPr>
        <w:br w:type="page"/>
      </w:r>
    </w:p>
    <w:p>
      <w:pPr>
        <w:pStyle w:val="40"/>
        <w:rPr>
          <w:rFonts w:hint="eastAsia" w:eastAsia="黑体"/>
          <w:lang w:eastAsia="zh-CN"/>
        </w:rPr>
      </w:pPr>
      <w:bookmarkStart w:id="133" w:name="_Toc6118"/>
      <w:bookmarkStart w:id="134" w:name="_Toc28019"/>
      <w:bookmarkStart w:id="135" w:name="_Toc7906"/>
      <w:bookmarkStart w:id="136" w:name="_Toc21302"/>
      <w:bookmarkStart w:id="137" w:name="_Toc8822"/>
      <w:bookmarkStart w:id="138" w:name="_Toc1647"/>
      <w:bookmarkStart w:id="139" w:name="_Toc10801"/>
      <w:bookmarkStart w:id="140" w:name="_Toc1072"/>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132"/>
      <w:bookmarkEnd w:id="133"/>
      <w:bookmarkEnd w:id="134"/>
      <w:bookmarkEnd w:id="135"/>
      <w:bookmarkEnd w:id="136"/>
      <w:bookmarkEnd w:id="137"/>
      <w:bookmarkEnd w:id="138"/>
      <w:bookmarkEnd w:id="139"/>
      <w:bookmarkEnd w:id="140"/>
    </w:p>
    <w:p>
      <w:pPr>
        <w:pStyle w:val="15"/>
        <w:numPr>
          <w:ilvl w:val="0"/>
          <w:numId w:val="6"/>
        </w:numPr>
        <w:ind w:firstLineChars="0"/>
        <w:rPr>
          <w:rFonts w:hint="eastAsia"/>
          <w:szCs w:val="22"/>
        </w:rPr>
      </w:pPr>
      <w:r>
        <w:rPr>
          <w:rFonts w:hint="eastAsia"/>
          <w:szCs w:val="22"/>
        </w:rPr>
        <w:t xml:space="preserve">  </w:t>
      </w:r>
      <w:r>
        <w:rPr>
          <w:rFonts w:hint="eastAsia"/>
          <w:szCs w:val="22"/>
          <w:lang w:val="en-US" w:eastAsia="zh-CN"/>
        </w:rPr>
        <w:t>GB/T 23020-2013  工业企业信息化和工业化融合评估规范</w:t>
      </w:r>
    </w:p>
    <w:p>
      <w:pPr>
        <w:pStyle w:val="15"/>
        <w:numPr>
          <w:ilvl w:val="0"/>
          <w:numId w:val="6"/>
        </w:numPr>
        <w:ind w:firstLineChars="0"/>
        <w:rPr>
          <w:rFonts w:hint="eastAsia"/>
          <w:szCs w:val="22"/>
          <w:lang w:val="en-US" w:eastAsia="zh-CN"/>
        </w:rPr>
      </w:pPr>
      <w:r>
        <w:rPr>
          <w:rFonts w:hint="eastAsia"/>
          <w:szCs w:val="22"/>
        </w:rPr>
        <w:t xml:space="preserve">  </w:t>
      </w:r>
      <w:r>
        <w:rPr>
          <w:rFonts w:hint="eastAsia"/>
          <w:szCs w:val="22"/>
          <w:lang w:val="en-US" w:eastAsia="zh-CN"/>
        </w:rPr>
        <w:t>GB/T 34960.1-2017  信息技术服务  治理  第1部分：通用要求</w:t>
      </w:r>
    </w:p>
    <w:p>
      <w:pPr>
        <w:pStyle w:val="15"/>
        <w:numPr>
          <w:ilvl w:val="0"/>
          <w:numId w:val="6"/>
        </w:numPr>
        <w:ind w:firstLineChars="0"/>
        <w:rPr>
          <w:rFonts w:hint="eastAsia"/>
          <w:szCs w:val="22"/>
        </w:rPr>
      </w:pPr>
      <w:r>
        <w:rPr>
          <w:rFonts w:hint="eastAsia"/>
          <w:szCs w:val="22"/>
        </w:rPr>
        <w:t xml:space="preserve">  </w:t>
      </w:r>
      <w:r>
        <w:rPr>
          <w:rFonts w:hint="eastAsia"/>
          <w:szCs w:val="22"/>
          <w:lang w:val="en-US" w:eastAsia="zh-CN"/>
        </w:rPr>
        <w:t>GB/T 34960.2-2017  信息技术服务  治理  第2部分：实施指南</w:t>
      </w:r>
    </w:p>
    <w:p>
      <w:pPr>
        <w:pStyle w:val="15"/>
        <w:numPr>
          <w:ilvl w:val="0"/>
          <w:numId w:val="6"/>
        </w:numPr>
        <w:ind w:firstLineChars="0"/>
        <w:rPr>
          <w:rFonts w:hint="eastAsia"/>
          <w:szCs w:val="22"/>
        </w:rPr>
      </w:pPr>
      <w:r>
        <w:rPr>
          <w:rFonts w:hint="eastAsia"/>
          <w:szCs w:val="22"/>
        </w:rPr>
        <w:t xml:space="preserve"> </w:t>
      </w:r>
      <w:r>
        <w:rPr>
          <w:rFonts w:hint="eastAsia"/>
          <w:szCs w:val="22"/>
          <w:lang w:val="en-US" w:eastAsia="zh-CN"/>
        </w:rPr>
        <w:t xml:space="preserve"> GB/T 34960.3-2017  信息技术服务  治理  第3部分：绩效评价</w:t>
      </w:r>
    </w:p>
    <w:p>
      <w:pPr>
        <w:pStyle w:val="41"/>
      </w:pPr>
      <w:r>
        <w:t>________________________________</w:t>
      </w:r>
    </w:p>
    <w:p>
      <w:pPr>
        <w:pStyle w:val="15"/>
        <w:ind w:firstLine="0" w:firstLineChars="0"/>
      </w:pPr>
    </w:p>
    <w:p/>
    <w:sectPr>
      <w:headerReference r:id="rId12" w:type="default"/>
      <w:footerReference r:id="rId14" w:type="default"/>
      <w:headerReference r:id="rId13" w:type="even"/>
      <w:footerReference r:id="rId15" w:type="even"/>
      <w:pgSz w:w="11906" w:h="16838"/>
      <w:pgMar w:top="1440" w:right="1803" w:bottom="1440" w:left="1803" w:header="1418" w:footer="1134" w:gutter="0"/>
      <w:pgNumType w:fmt="decimal"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4"/>
                            <w:rPr>
                              <w:rFonts w:hint="eastAsia"/>
                            </w:rPr>
                          </w:pPr>
                          <w:r>
                            <w:rPr>
                              <w:rFonts w:hint="eastAsia"/>
                            </w:rPr>
                            <w:t>Ⅲ</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44"/>
                      <w:rPr>
                        <w:rFonts w:hint="eastAsia"/>
                      </w:rPr>
                    </w:pPr>
                    <w:r>
                      <w:rPr>
                        <w:rFonts w:hint="eastAsia"/>
                      </w:rPr>
                      <w:t>Ⅲ</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5"/>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4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5"/>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4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4"/>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44"/>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jc w:val="right"/>
    </w:pPr>
    <w:r>
      <w:t>DB21/T XXXXX—20</w:t>
    </w:r>
    <w:r>
      <w:rPr>
        <w:rFonts w:hint="eastAsia"/>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rPr>
        <w:rFonts w:hint="eastAsia" w:eastAsia="黑体"/>
        <w:lang w:eastAsia="zh-CN"/>
      </w:rPr>
    </w:pPr>
    <w:r>
      <w:t>DB</w:t>
    </w:r>
    <w:r>
      <w:rPr>
        <w:rFonts w:hint="eastAsia"/>
      </w:rPr>
      <w:t>21</w:t>
    </w:r>
    <w:r>
      <w:t>/</w:t>
    </w:r>
    <w:r>
      <w:rPr>
        <w:rFonts w:hint="eastAsia"/>
      </w:rPr>
      <w:t>T</w:t>
    </w:r>
    <w:r>
      <w:t xml:space="preserve"> XXXX</w:t>
    </w:r>
    <w:r>
      <w:rPr>
        <w:rFonts w:hAnsi="黑体"/>
      </w:rPr>
      <w:t>—</w:t>
    </w:r>
    <w:r>
      <w:rPr>
        <w:rFonts w:hint="eastAsia"/>
      </w:rPr>
      <w:t>202</w:t>
    </w:r>
    <w:r>
      <w:rPr>
        <w:rFonts w:hint="eastAsia"/>
        <w:lang w:val="en-US" w:eastAsia="zh-CN"/>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jc w:val="right"/>
    </w:pPr>
    <w:r>
      <w:t>DB21/T XXXXX—20</w:t>
    </w:r>
    <w:r>
      <w:rPr>
        <w:rFonts w:hint="eastAsia"/>
      </w:rPr>
      <w:t>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rPr>
        <w:rFonts w:hint="eastAsia" w:eastAsia="黑体"/>
        <w:lang w:eastAsia="zh-CN"/>
      </w:rPr>
    </w:pPr>
    <w:r>
      <w:t>DB</w:t>
    </w:r>
    <w:r>
      <w:rPr>
        <w:rFonts w:hint="eastAsia"/>
      </w:rPr>
      <w:t>21</w:t>
    </w:r>
    <w:r>
      <w:t>/</w:t>
    </w:r>
    <w:r>
      <w:rPr>
        <w:rFonts w:hint="eastAsia"/>
      </w:rPr>
      <w:t>T</w:t>
    </w:r>
    <w:r>
      <w:t xml:space="preserve"> XXXX</w:t>
    </w:r>
    <w:r>
      <w:rPr>
        <w:rFonts w:hAnsi="黑体"/>
      </w:rPr>
      <w:t>—</w:t>
    </w:r>
    <w:r>
      <w:rPr>
        <w:rFonts w:hint="eastAsia"/>
      </w:rPr>
      <w:t>202</w:t>
    </w:r>
    <w:r>
      <w:rPr>
        <w:rFonts w:hint="eastAsia"/>
        <w:lang w:val="en-US" w:eastAsia="zh-CN"/>
      </w:rPr>
      <w:t>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Fonts w:hint="eastAsia" w:hAnsi="黑体" w:eastAsia="黑体" w:cs="黑体"/>
        <w:lang w:eastAsia="zh-CN"/>
      </w:rPr>
    </w:pPr>
    <w:r>
      <w:rPr>
        <w:rFonts w:hint="eastAsia" w:hAnsi="黑体" w:cs="黑体"/>
      </w:rPr>
      <w:t>DB21/T XXXXX—202</w:t>
    </w:r>
    <w:r>
      <w:rPr>
        <w:rFonts w:hint="eastAsia" w:hAnsi="黑体" w:cs="黑体"/>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3EC51"/>
    <w:multiLevelType w:val="singleLevel"/>
    <w:tmpl w:val="8CB3EC51"/>
    <w:lvl w:ilvl="0" w:tentative="0">
      <w:start w:val="1"/>
      <w:numFmt w:val="lowerLetter"/>
      <w:suff w:val="space"/>
      <w:lvlText w:val="%1）"/>
      <w:lvlJc w:val="left"/>
    </w:lvl>
  </w:abstractNum>
  <w:abstractNum w:abstractNumId="1">
    <w:nsid w:val="C75182FB"/>
    <w:multiLevelType w:val="singleLevel"/>
    <w:tmpl w:val="C75182FB"/>
    <w:lvl w:ilvl="0" w:tentative="0">
      <w:start w:val="1"/>
      <w:numFmt w:val="lowerLetter"/>
      <w:suff w:val="space"/>
      <w:lvlText w:val="%1）"/>
      <w:lvlJc w:val="left"/>
    </w:lvl>
  </w:abstractNum>
  <w:abstractNum w:abstractNumId="2">
    <w:nsid w:val="C8A6D1E5"/>
    <w:multiLevelType w:val="multilevel"/>
    <w:tmpl w:val="C8A6D1E5"/>
    <w:lvl w:ilvl="0" w:tentative="0">
      <w:start w:val="1"/>
      <w:numFmt w:val="decimal"/>
      <w:pStyle w:val="1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7"/>
      <w:suff w:val="nothing"/>
      <w:lvlText w:val="%1.%2.%3　"/>
      <w:lvlJc w:val="left"/>
      <w:pPr>
        <w:tabs>
          <w:tab w:val="left" w:pos="0"/>
        </w:tabs>
        <w:ind w:left="0" w:firstLine="0"/>
      </w:pPr>
      <w:rPr>
        <w:rFonts w:hint="eastAsia" w:ascii="黑体" w:hAnsi="Times New Roman" w:eastAsia="黑体"/>
        <w:b w:val="0"/>
        <w:i w:val="0"/>
        <w:sz w:val="21"/>
      </w:rPr>
    </w:lvl>
    <w:lvl w:ilvl="3" w:tentative="0">
      <w:start w:val="1"/>
      <w:numFmt w:val="decimal"/>
      <w:pStyle w:val="18"/>
      <w:suff w:val="nothing"/>
      <w:lvlText w:val="%1.%2.%3.%4　"/>
      <w:lvlJc w:val="left"/>
      <w:pPr>
        <w:tabs>
          <w:tab w:val="left" w:pos="0"/>
        </w:tabs>
        <w:ind w:left="0" w:firstLine="0"/>
      </w:pPr>
      <w:rPr>
        <w:rFonts w:hint="eastAsia" w:ascii="黑体" w:hAnsi="Times New Roman" w:eastAsia="黑体"/>
        <w:b w:val="0"/>
        <w:i w:val="0"/>
        <w:sz w:val="21"/>
      </w:rPr>
    </w:lvl>
    <w:lvl w:ilvl="4" w:tentative="0">
      <w:start w:val="1"/>
      <w:numFmt w:val="decimal"/>
      <w:pStyle w:val="19"/>
      <w:suff w:val="nothing"/>
      <w:lvlText w:val="%1.%2.%3.%4.%5　"/>
      <w:lvlJc w:val="left"/>
      <w:pPr>
        <w:ind w:left="0" w:firstLine="0"/>
      </w:pPr>
      <w:rPr>
        <w:rFonts w:hint="eastAsia" w:ascii="黑体" w:hAnsi="Times New Roman" w:eastAsia="黑体"/>
        <w:b w:val="0"/>
        <w:i w:val="0"/>
        <w:sz w:val="21"/>
      </w:rPr>
    </w:lvl>
    <w:lvl w:ilvl="5" w:tentative="0">
      <w:start w:val="1"/>
      <w:numFmt w:val="decimal"/>
      <w:pStyle w:val="2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E004F994"/>
    <w:multiLevelType w:val="singleLevel"/>
    <w:tmpl w:val="E004F994"/>
    <w:lvl w:ilvl="0" w:tentative="0">
      <w:start w:val="1"/>
      <w:numFmt w:val="lowerLetter"/>
      <w:suff w:val="space"/>
      <w:lvlText w:val="%1）"/>
      <w:lvlJc w:val="left"/>
    </w:lvl>
  </w:abstractNum>
  <w:abstractNum w:abstractNumId="4">
    <w:nsid w:val="330ED0B7"/>
    <w:multiLevelType w:val="singleLevel"/>
    <w:tmpl w:val="330ED0B7"/>
    <w:lvl w:ilvl="0" w:tentative="0">
      <w:start w:val="1"/>
      <w:numFmt w:val="lowerLetter"/>
      <w:suff w:val="space"/>
      <w:lvlText w:val="%1）"/>
      <w:lvlJc w:val="left"/>
      <w:pPr>
        <w:tabs>
          <w:tab w:val="left" w:pos="0"/>
        </w:tabs>
        <w:ind w:left="840" w:leftChars="0" w:hanging="420" w:firstLineChars="0"/>
      </w:pPr>
      <w:rPr>
        <w:rFonts w:hint="default"/>
      </w:rPr>
    </w:lvl>
  </w:abstractNum>
  <w:abstractNum w:abstractNumId="5">
    <w:nsid w:val="7B28E5B0"/>
    <w:multiLevelType w:val="singleLevel"/>
    <w:tmpl w:val="7B28E5B0"/>
    <w:lvl w:ilvl="0" w:tentative="0">
      <w:start w:val="1"/>
      <w:numFmt w:val="decimal"/>
      <w:suff w:val="nothing"/>
      <w:lvlText w:val="[%1]"/>
      <w:lvlJc w:val="left"/>
      <w:pPr>
        <w:ind w:left="0" w:firstLine="420"/>
      </w:pPr>
      <w:rPr>
        <w:rFont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mU2YTI0NDY2ZTBmZGRmNjFiYzg1Y2E3NTRhYWQifQ=="/>
  </w:docVars>
  <w:rsids>
    <w:rsidRoot w:val="6EED1851"/>
    <w:rsid w:val="0326601C"/>
    <w:rsid w:val="05B621F4"/>
    <w:rsid w:val="0786182E"/>
    <w:rsid w:val="079820B7"/>
    <w:rsid w:val="0A8318E9"/>
    <w:rsid w:val="0C7950C3"/>
    <w:rsid w:val="0D4C1914"/>
    <w:rsid w:val="0F180584"/>
    <w:rsid w:val="1171316F"/>
    <w:rsid w:val="158509FD"/>
    <w:rsid w:val="15B463FC"/>
    <w:rsid w:val="18D259EE"/>
    <w:rsid w:val="1B1335D0"/>
    <w:rsid w:val="24B70968"/>
    <w:rsid w:val="24C85E0F"/>
    <w:rsid w:val="28C878A3"/>
    <w:rsid w:val="2D612438"/>
    <w:rsid w:val="2FA90ADA"/>
    <w:rsid w:val="30910909"/>
    <w:rsid w:val="30C866C2"/>
    <w:rsid w:val="342E0004"/>
    <w:rsid w:val="35ED0F20"/>
    <w:rsid w:val="362D2608"/>
    <w:rsid w:val="37B70141"/>
    <w:rsid w:val="3A4B71BD"/>
    <w:rsid w:val="3B1A08AC"/>
    <w:rsid w:val="3BA24357"/>
    <w:rsid w:val="3DA66B6F"/>
    <w:rsid w:val="401604A6"/>
    <w:rsid w:val="40330901"/>
    <w:rsid w:val="40546EFD"/>
    <w:rsid w:val="405D772B"/>
    <w:rsid w:val="418A09F4"/>
    <w:rsid w:val="41AF15BA"/>
    <w:rsid w:val="43765B64"/>
    <w:rsid w:val="4619144A"/>
    <w:rsid w:val="470A2BB2"/>
    <w:rsid w:val="475E0799"/>
    <w:rsid w:val="48A00AFD"/>
    <w:rsid w:val="4C9C0B4C"/>
    <w:rsid w:val="4E0E4D64"/>
    <w:rsid w:val="4FDE0627"/>
    <w:rsid w:val="543360D6"/>
    <w:rsid w:val="54E63D3C"/>
    <w:rsid w:val="55F63ED9"/>
    <w:rsid w:val="561D62A1"/>
    <w:rsid w:val="562B7631"/>
    <w:rsid w:val="57077216"/>
    <w:rsid w:val="580C3AB9"/>
    <w:rsid w:val="582A2F51"/>
    <w:rsid w:val="5BF472D2"/>
    <w:rsid w:val="5DA54B0D"/>
    <w:rsid w:val="5E9C0663"/>
    <w:rsid w:val="5F1F07A7"/>
    <w:rsid w:val="5FD8686F"/>
    <w:rsid w:val="60466C89"/>
    <w:rsid w:val="61F42D77"/>
    <w:rsid w:val="63911317"/>
    <w:rsid w:val="668D7F3F"/>
    <w:rsid w:val="67DF27E0"/>
    <w:rsid w:val="69146084"/>
    <w:rsid w:val="6A286470"/>
    <w:rsid w:val="6CB50929"/>
    <w:rsid w:val="6CB55386"/>
    <w:rsid w:val="6CF0790E"/>
    <w:rsid w:val="6D060CC2"/>
    <w:rsid w:val="6D844C93"/>
    <w:rsid w:val="6EED1851"/>
    <w:rsid w:val="6FD04BF0"/>
    <w:rsid w:val="74117979"/>
    <w:rsid w:val="79584272"/>
    <w:rsid w:val="7D173A39"/>
    <w:rsid w:val="7DC4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rPr>
      <w:rFonts w:ascii="黑体" w:hAnsi="黑体" w:eastAsia="黑体"/>
      <w:sz w:val="21"/>
      <w:szCs w:val="21"/>
      <w:lang w:val="en-US" w:eastAsia="zh-CN" w:bidi="ar-SA"/>
    </w:rPr>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ind w:firstLine="0" w:firstLineChars="0"/>
      <w:contextualSpacing/>
      <w:jc w:val="center"/>
    </w:pPr>
    <w:rPr>
      <w:rFonts w:ascii="Cambria" w:hAnsi="Cambria" w:eastAsia="华文仿宋"/>
      <w:spacing w:val="5"/>
      <w:szCs w:val="52"/>
    </w:rPr>
  </w:style>
  <w:style w:type="paragraph" w:styleId="4">
    <w:name w:val="toc 3"/>
    <w:basedOn w:val="5"/>
    <w:next w:val="1"/>
    <w:semiHidden/>
    <w:qFormat/>
    <w:uiPriority w:val="0"/>
    <w:pPr>
      <w:tabs>
        <w:tab w:val="right" w:leader="dot" w:pos="9241"/>
        <w:tab w:val="right" w:leader="dot" w:pos="9242"/>
      </w:tabs>
      <w:ind w:firstLine="100" w:firstLineChars="100"/>
      <w:jc w:val="left"/>
    </w:pPr>
    <w:rPr>
      <w:rFonts w:ascii="宋体"/>
      <w:szCs w:val="21"/>
    </w:rPr>
  </w:style>
  <w:style w:type="paragraph" w:styleId="5">
    <w:name w:val="toc 2"/>
    <w:basedOn w:val="6"/>
    <w:next w:val="1"/>
    <w:semiHidden/>
    <w:qFormat/>
    <w:uiPriority w:val="0"/>
    <w:pPr>
      <w:tabs>
        <w:tab w:val="right" w:leader="dot" w:pos="9242"/>
      </w:tabs>
    </w:pPr>
    <w:rPr>
      <w:rFonts w:ascii="宋体"/>
      <w:szCs w:val="21"/>
    </w:rPr>
  </w:style>
  <w:style w:type="paragraph" w:styleId="6">
    <w:name w:val="toc 1"/>
    <w:basedOn w:val="1"/>
    <w:next w:val="1"/>
    <w:semiHidden/>
    <w:qFormat/>
    <w:uiPriority w:val="0"/>
    <w:pPr>
      <w:tabs>
        <w:tab w:val="right" w:leader="dot" w:pos="9242"/>
      </w:tabs>
      <w:spacing w:beforeLines="25" w:afterLines="25"/>
      <w:jc w:val="left"/>
    </w:pPr>
    <w:rPr>
      <w:rFonts w:ascii="宋体"/>
      <w:szCs w:val="21"/>
    </w:rPr>
  </w:style>
  <w:style w:type="paragraph" w:styleId="7">
    <w:name w:val="Body Text Indent 2"/>
    <w:basedOn w:val="1"/>
    <w:qFormat/>
    <w:uiPriority w:val="0"/>
    <w:pPr>
      <w:ind w:firstLine="480" w:firstLineChars="200"/>
    </w:pPr>
  </w:style>
  <w:style w:type="paragraph" w:styleId="8">
    <w:name w:val="footer"/>
    <w:basedOn w:val="1"/>
    <w:qFormat/>
    <w:uiPriority w:val="0"/>
    <w:pPr>
      <w:snapToGrid w:val="0"/>
      <w:ind w:right="210" w:rightChars="100"/>
      <w:jc w:val="righ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章标题"/>
    <w:next w:val="15"/>
    <w:qFormat/>
    <w:uiPriority w:val="0"/>
    <w:pPr>
      <w:numPr>
        <w:ilvl w:val="0"/>
        <w:numId w:val="1"/>
      </w:numPr>
      <w:spacing w:before="100" w:beforeLines="100" w:after="100" w:afterLines="100"/>
      <w:jc w:val="both"/>
      <w:outlineLvl w:val="1"/>
    </w:pPr>
    <w:rPr>
      <w:rFonts w:ascii="黑体" w:hAnsi="黑体" w:eastAsia="黑体" w:cstheme="minorBidi"/>
      <w:sz w:val="21"/>
      <w:lang w:val="en-US" w:eastAsia="zh-CN" w:bidi="ar-SA"/>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16">
    <w:name w:val="一级条标题"/>
    <w:next w:val="15"/>
    <w:link w:val="21"/>
    <w:qFormat/>
    <w:uiPriority w:val="0"/>
    <w:pPr>
      <w:numPr>
        <w:ilvl w:val="1"/>
        <w:numId w:val="1"/>
      </w:numPr>
      <w:spacing w:before="50" w:beforeLines="50" w:after="50" w:afterLines="50"/>
      <w:outlineLvl w:val="2"/>
    </w:pPr>
    <w:rPr>
      <w:rFonts w:ascii="黑体" w:hAnsi="黑体" w:eastAsia="黑体" w:cstheme="minorBidi"/>
      <w:sz w:val="21"/>
      <w:szCs w:val="21"/>
      <w:lang w:val="en-US" w:eastAsia="zh-CN" w:bidi="ar-SA"/>
    </w:rPr>
  </w:style>
  <w:style w:type="paragraph" w:customStyle="1" w:styleId="17">
    <w:name w:val="二级条标题"/>
    <w:basedOn w:val="16"/>
    <w:next w:val="15"/>
    <w:qFormat/>
    <w:uiPriority w:val="0"/>
    <w:pPr>
      <w:numPr>
        <w:ilvl w:val="2"/>
      </w:numPr>
      <w:tabs>
        <w:tab w:val="left" w:pos="0"/>
      </w:tabs>
      <w:spacing w:before="50" w:after="50"/>
      <w:ind w:left="0" w:firstLine="0"/>
      <w:outlineLvl w:val="3"/>
    </w:pPr>
    <w:rPr>
      <w:rFonts w:ascii="黑体" w:hAnsi="黑体" w:eastAsia="黑体"/>
      <w:sz w:val="21"/>
      <w:szCs w:val="21"/>
      <w:lang w:val="en-US" w:eastAsia="zh-CN" w:bidi="ar-SA"/>
    </w:rPr>
  </w:style>
  <w:style w:type="paragraph" w:customStyle="1" w:styleId="18">
    <w:name w:val="三级条标题"/>
    <w:basedOn w:val="17"/>
    <w:next w:val="15"/>
    <w:qFormat/>
    <w:uiPriority w:val="0"/>
    <w:pPr>
      <w:numPr>
        <w:ilvl w:val="3"/>
      </w:numPr>
      <w:ind w:left="0"/>
      <w:outlineLvl w:val="4"/>
    </w:pPr>
    <w:rPr>
      <w:rFonts w:ascii="黑体" w:hAnsi="黑体" w:eastAsia="黑体"/>
      <w:sz w:val="21"/>
      <w:szCs w:val="21"/>
      <w:lang w:val="en-US" w:eastAsia="zh-CN" w:bidi="ar-SA"/>
    </w:rPr>
  </w:style>
  <w:style w:type="paragraph" w:customStyle="1" w:styleId="19">
    <w:name w:val="四级条标题"/>
    <w:basedOn w:val="1"/>
    <w:qFormat/>
    <w:uiPriority w:val="0"/>
    <w:pPr>
      <w:numPr>
        <w:ilvl w:val="4"/>
        <w:numId w:val="1"/>
      </w:numPr>
    </w:pPr>
    <w:rPr>
      <w:rFonts w:ascii="黑体" w:hAnsi="黑体" w:eastAsia="黑体"/>
      <w:sz w:val="21"/>
      <w:szCs w:val="21"/>
      <w:lang w:val="en-US" w:eastAsia="zh-CN" w:bidi="ar-SA"/>
    </w:rPr>
  </w:style>
  <w:style w:type="paragraph" w:customStyle="1" w:styleId="20">
    <w:name w:val="五级条标题"/>
    <w:basedOn w:val="1"/>
    <w:qFormat/>
    <w:uiPriority w:val="0"/>
    <w:pPr>
      <w:numPr>
        <w:ilvl w:val="5"/>
        <w:numId w:val="1"/>
      </w:numPr>
    </w:pPr>
    <w:rPr>
      <w:rFonts w:ascii="黑体" w:hAnsi="黑体" w:eastAsia="黑体"/>
      <w:sz w:val="21"/>
      <w:szCs w:val="21"/>
      <w:lang w:val="en-US" w:eastAsia="zh-CN" w:bidi="ar-SA"/>
    </w:rPr>
  </w:style>
  <w:style w:type="character" w:customStyle="1" w:styleId="21">
    <w:name w:val="一级条标题 Char"/>
    <w:link w:val="16"/>
    <w:qFormat/>
    <w:uiPriority w:val="0"/>
    <w:rPr>
      <w:rFonts w:ascii="黑体" w:hAnsi="黑体" w:eastAsia="黑体"/>
      <w:sz w:val="21"/>
      <w:szCs w:val="21"/>
      <w:lang w:val="en-US" w:eastAsia="zh-CN" w:bidi="ar-SA"/>
    </w:rPr>
  </w:style>
  <w:style w:type="paragraph" w:customStyle="1" w:styleId="22">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23">
    <w:name w:val="其他标准标志"/>
    <w:basedOn w:val="24"/>
    <w:qFormat/>
    <w:uiPriority w:val="0"/>
    <w:pPr>
      <w:framePr w:w="6101" w:vAnchor="page" w:hAnchor="page" w:x="4673" w:y="942"/>
    </w:pPr>
    <w:rPr>
      <w:w w:val="130"/>
    </w:rPr>
  </w:style>
  <w:style w:type="paragraph" w:customStyle="1" w:styleId="2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2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6">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27">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2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29">
    <w:name w:val="封面标准英文名称"/>
    <w:basedOn w:val="28"/>
    <w:qFormat/>
    <w:uiPriority w:val="0"/>
    <w:pPr>
      <w:spacing w:before="370" w:line="400" w:lineRule="exact"/>
    </w:pPr>
    <w:rPr>
      <w:rFonts w:ascii="Times New Roman"/>
      <w:sz w:val="28"/>
      <w:szCs w:val="28"/>
    </w:rPr>
  </w:style>
  <w:style w:type="paragraph" w:customStyle="1" w:styleId="30">
    <w:name w:val="封面一致性程度标识"/>
    <w:basedOn w:val="29"/>
    <w:qFormat/>
    <w:uiPriority w:val="0"/>
    <w:pPr>
      <w:spacing w:before="440"/>
    </w:pPr>
    <w:rPr>
      <w:rFonts w:ascii="宋体" w:eastAsia="宋体"/>
    </w:rPr>
  </w:style>
  <w:style w:type="paragraph" w:customStyle="1" w:styleId="31">
    <w:name w:val="封面标准文稿类别"/>
    <w:basedOn w:val="30"/>
    <w:qFormat/>
    <w:uiPriority w:val="0"/>
    <w:pPr>
      <w:spacing w:after="160" w:line="240" w:lineRule="auto"/>
    </w:pPr>
    <w:rPr>
      <w:sz w:val="24"/>
    </w:rPr>
  </w:style>
  <w:style w:type="paragraph" w:customStyle="1" w:styleId="32">
    <w:name w:val="封面标准文稿编辑信息"/>
    <w:basedOn w:val="31"/>
    <w:qFormat/>
    <w:uiPriority w:val="0"/>
    <w:pPr>
      <w:spacing w:before="180" w:line="180" w:lineRule="exact"/>
    </w:pPr>
    <w:rPr>
      <w:sz w:val="21"/>
    </w:rPr>
  </w:style>
  <w:style w:type="paragraph" w:customStyle="1" w:styleId="33">
    <w:name w:val="其他发布日期"/>
    <w:basedOn w:val="34"/>
    <w:qFormat/>
    <w:uiPriority w:val="0"/>
    <w:pPr>
      <w:framePr w:vAnchor="page" w:hAnchor="text" w:x="1419"/>
    </w:pPr>
  </w:style>
  <w:style w:type="paragraph" w:customStyle="1" w:styleId="34">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35">
    <w:name w:val="其他实施日期"/>
    <w:basedOn w:val="36"/>
    <w:qFormat/>
    <w:uiPriority w:val="0"/>
  </w:style>
  <w:style w:type="paragraph" w:customStyle="1" w:styleId="36">
    <w:name w:val="实施日期"/>
    <w:basedOn w:val="34"/>
    <w:qFormat/>
    <w:uiPriority w:val="0"/>
    <w:pPr>
      <w:framePr w:vAnchor="page" w:hAnchor="text"/>
      <w:jc w:val="right"/>
    </w:pPr>
  </w:style>
  <w:style w:type="paragraph" w:customStyle="1" w:styleId="37">
    <w:name w:val="其他发布部门"/>
    <w:basedOn w:val="38"/>
    <w:qFormat/>
    <w:uiPriority w:val="0"/>
    <w:pPr>
      <w:framePr w:y="15310"/>
      <w:spacing w:line="0" w:lineRule="atLeast"/>
    </w:pPr>
    <w:rPr>
      <w:rFonts w:ascii="黑体" w:eastAsia="黑体"/>
      <w:b w:val="0"/>
    </w:rPr>
  </w:style>
  <w:style w:type="paragraph" w:customStyle="1" w:styleId="38">
    <w:name w:val="发布部门"/>
    <w:next w:val="15"/>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39">
    <w:name w:val="前言、引言标题"/>
    <w:next w:val="15"/>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40">
    <w:name w:val="参考文献"/>
    <w:basedOn w:val="1"/>
    <w:next w:val="1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1">
    <w:name w:val="终结线"/>
    <w:basedOn w:val="1"/>
    <w:qFormat/>
    <w:uiPriority w:val="0"/>
    <w:pPr>
      <w:framePr w:hSpace="181" w:vSpace="181" w:wrap="around" w:vAnchor="text" w:hAnchor="margin" w:xAlign="center" w:y="285"/>
    </w:pPr>
  </w:style>
  <w:style w:type="paragraph" w:customStyle="1" w:styleId="42">
    <w:name w:val="标准书眉_偶数页"/>
    <w:basedOn w:val="43"/>
    <w:next w:val="1"/>
    <w:qFormat/>
    <w:uiPriority w:val="0"/>
    <w:pPr>
      <w:tabs>
        <w:tab w:val="center" w:pos="4154"/>
        <w:tab w:val="right" w:pos="8306"/>
      </w:tabs>
      <w:jc w:val="left"/>
    </w:pPr>
  </w:style>
  <w:style w:type="paragraph" w:customStyle="1" w:styleId="43">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44">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45">
    <w:name w:val="标准书脚_奇数页"/>
    <w:qFormat/>
    <w:uiPriority w:val="0"/>
    <w:pPr>
      <w:spacing w:before="120"/>
      <w:ind w:right="198"/>
      <w:jc w:val="right"/>
    </w:pPr>
    <w:rPr>
      <w:rFonts w:ascii="宋体" w:hAnsi="Calibri"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7472</Words>
  <Characters>8391</Characters>
  <Lines>0</Lines>
  <Paragraphs>0</Paragraphs>
  <TotalTime>23</TotalTime>
  <ScaleCrop>false</ScaleCrop>
  <LinksUpToDate>false</LinksUpToDate>
  <CharactersWithSpaces>8607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2022-06-09T02:41:00Z</dcterms:created>
  <dc:creator>XPS15</dc:creator>
  <cp:lastModifiedBy>李佳丽</cp:lastModifiedBy>
  <dcterms:modified xsi:type="dcterms:W3CDTF">2023-06-19T07:22:36Z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3C426743822D4635860BC514AA648AEE</vt:lpwstr>
  </property>
</Properties>
</file>