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黑体" w:hAnsi="黑体" w:eastAsia="黑体" w:cs="宋体"/>
          <w:sz w:val="44"/>
          <w:szCs w:val="48"/>
          <w:highlight w:val="none"/>
        </w:rPr>
      </w:pPr>
      <w:r>
        <w:rPr>
          <w:rFonts w:hint="eastAsia" w:ascii="黑体" w:hAnsi="黑体" w:eastAsia="黑体"/>
          <w:bCs/>
          <w:sz w:val="44"/>
          <w:szCs w:val="48"/>
          <w:highlight w:val="none"/>
        </w:rPr>
        <w:t>辽宁省</w:t>
      </w:r>
      <w:r>
        <w:rPr>
          <w:rFonts w:hint="eastAsia" w:ascii="黑体" w:hAnsi="黑体" w:eastAsia="黑体" w:cs="宋体"/>
          <w:sz w:val="44"/>
          <w:szCs w:val="48"/>
          <w:highlight w:val="none"/>
        </w:rPr>
        <w:t>地方标准</w:t>
      </w:r>
    </w:p>
    <w:p>
      <w:pPr>
        <w:spacing w:beforeLines="50" w:afterLines="50" w:line="360" w:lineRule="auto"/>
        <w:jc w:val="center"/>
        <w:rPr>
          <w:rFonts w:ascii="黑体" w:hAnsi="黑体" w:eastAsia="黑体" w:cs="宋体"/>
          <w:sz w:val="44"/>
          <w:szCs w:val="48"/>
          <w:highlight w:val="none"/>
        </w:rPr>
      </w:pPr>
    </w:p>
    <w:p>
      <w:pPr>
        <w:jc w:val="cente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ETC智慧停车场</w:t>
      </w:r>
    </w:p>
    <w:p>
      <w:pPr>
        <w:spacing w:beforeLines="50" w:afterLines="50" w:line="360" w:lineRule="auto"/>
        <w:jc w:val="center"/>
        <w:rPr>
          <w:rFonts w:ascii="黑体" w:hAnsi="黑体" w:eastAsia="黑体"/>
          <w:bCs/>
          <w:sz w:val="44"/>
          <w:szCs w:val="48"/>
          <w:highlight w:val="none"/>
        </w:rPr>
      </w:pPr>
      <w:r>
        <w:rPr>
          <w:rFonts w:hint="eastAsia" w:ascii="黑体" w:hAnsi="黑体" w:eastAsia="黑体"/>
          <w:bCs/>
          <w:sz w:val="44"/>
          <w:szCs w:val="48"/>
          <w:highlight w:val="none"/>
        </w:rPr>
        <w:t>编 制 说 明</w:t>
      </w:r>
    </w:p>
    <w:p>
      <w:pPr>
        <w:jc w:val="center"/>
        <w:rPr>
          <w:rFonts w:ascii="仿宋" w:hAnsi="仿宋" w:eastAsia="仿宋"/>
          <w:sz w:val="28"/>
          <w:szCs w:val="28"/>
          <w:highlight w:val="none"/>
        </w:rPr>
      </w:pPr>
    </w:p>
    <w:p>
      <w:pPr>
        <w:rPr>
          <w:rFonts w:ascii="仿宋" w:hAnsi="仿宋" w:eastAsia="仿宋"/>
          <w:sz w:val="28"/>
          <w:szCs w:val="28"/>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spacing w:line="56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辽宁高速通智慧出行有限责任公司</w:t>
      </w:r>
    </w:p>
    <w:p>
      <w:pPr>
        <w:spacing w:line="560" w:lineRule="exact"/>
        <w:jc w:val="center"/>
        <w:rPr>
          <w:rFonts w:ascii="仿宋" w:hAnsi="仿宋" w:eastAsia="仿宋" w:cs="宋体"/>
          <w:b/>
          <w:sz w:val="32"/>
          <w:szCs w:val="32"/>
          <w:highlight w:val="none"/>
        </w:rPr>
      </w:pPr>
      <w:r>
        <w:rPr>
          <w:rFonts w:hint="eastAsia" w:ascii="仿宋" w:hAnsi="仿宋" w:eastAsia="仿宋" w:cs="宋体"/>
          <w:b/>
          <w:sz w:val="32"/>
          <w:szCs w:val="32"/>
          <w:highlight w:val="none"/>
        </w:rPr>
        <w:t>二〇二</w:t>
      </w:r>
      <w:r>
        <w:rPr>
          <w:rFonts w:hint="eastAsia" w:ascii="仿宋" w:hAnsi="仿宋" w:eastAsia="仿宋" w:cs="宋体"/>
          <w:b/>
          <w:sz w:val="32"/>
          <w:szCs w:val="32"/>
          <w:highlight w:val="none"/>
          <w:lang w:val="en-US" w:eastAsia="zh-CN"/>
        </w:rPr>
        <w:t>一</w:t>
      </w:r>
      <w:r>
        <w:rPr>
          <w:rFonts w:hint="eastAsia" w:ascii="仿宋" w:hAnsi="仿宋" w:eastAsia="仿宋" w:cs="宋体"/>
          <w:b/>
          <w:sz w:val="32"/>
          <w:szCs w:val="32"/>
          <w:highlight w:val="none"/>
        </w:rPr>
        <w:t>年</w:t>
      </w:r>
      <w:r>
        <w:rPr>
          <w:rFonts w:hint="eastAsia" w:ascii="仿宋" w:hAnsi="仿宋" w:eastAsia="仿宋" w:cs="宋体"/>
          <w:b/>
          <w:sz w:val="32"/>
          <w:szCs w:val="32"/>
          <w:highlight w:val="none"/>
          <w:lang w:val="en-US" w:eastAsia="zh-CN"/>
        </w:rPr>
        <w:t>八</w:t>
      </w:r>
      <w:r>
        <w:rPr>
          <w:rFonts w:hint="eastAsia" w:ascii="仿宋" w:hAnsi="仿宋" w:eastAsia="仿宋" w:cs="宋体"/>
          <w:b/>
          <w:sz w:val="32"/>
          <w:szCs w:val="32"/>
          <w:highlight w:val="none"/>
        </w:rPr>
        <w:t>月</w:t>
      </w:r>
    </w:p>
    <w:p>
      <w:pPr>
        <w:spacing w:line="520" w:lineRule="exact"/>
        <w:rPr>
          <w:rFonts w:ascii="宋体" w:hAnsi="宋体" w:cs="宋体"/>
          <w:b/>
          <w:sz w:val="32"/>
          <w:szCs w:val="32"/>
          <w:highlight w:val="none"/>
        </w:rPr>
      </w:pPr>
    </w:p>
    <w:p>
      <w:pPr>
        <w:rPr>
          <w:rFonts w:ascii="宋体" w:hAnsi="宋体" w:eastAsia="宋体"/>
          <w:sz w:val="30"/>
          <w:szCs w:val="30"/>
          <w:highlight w:val="none"/>
        </w:rPr>
      </w:pPr>
      <w:r>
        <w:rPr>
          <w:rFonts w:ascii="宋体" w:hAnsi="宋体" w:cs="宋体"/>
          <w:b/>
          <w:sz w:val="32"/>
          <w:szCs w:val="32"/>
          <w:highlight w:val="none"/>
        </w:rPr>
        <w:br w:type="page"/>
      </w:r>
    </w:p>
    <w:p>
      <w:pPr>
        <w:numPr>
          <w:ilvl w:val="0"/>
          <w:numId w:val="1"/>
        </w:numPr>
        <w:ind w:left="0" w:leftChars="0" w:firstLine="0" w:firstLineChars="0"/>
        <w:rPr>
          <w:rFonts w:hint="eastAsia" w:ascii="仿宋_GB2312" w:hAnsi="宋体" w:cs="仿宋_GB2312"/>
          <w:highlight w:val="none"/>
        </w:rPr>
      </w:pPr>
      <w:r>
        <w:rPr>
          <w:rFonts w:hint="eastAsia" w:ascii="仿宋_GB2312" w:hAnsi="宋体" w:cs="仿宋_GB2312"/>
          <w:highlight w:val="none"/>
        </w:rPr>
        <w:t>工作简介</w:t>
      </w:r>
    </w:p>
    <w:p>
      <w:pPr>
        <w:numPr>
          <w:ilvl w:val="0"/>
          <w:numId w:val="2"/>
        </w:numPr>
        <w:ind w:left="0" w:leftChars="0" w:firstLine="420" w:firstLineChars="0"/>
        <w:rPr>
          <w:rFonts w:ascii="仿宋_GB2312" w:hAnsi="宋体"/>
          <w:sz w:val="30"/>
          <w:szCs w:val="30"/>
          <w:highlight w:val="none"/>
        </w:rPr>
      </w:pPr>
      <w:r>
        <w:rPr>
          <w:rFonts w:hint="eastAsia" w:ascii="仿宋_GB2312" w:hAnsi="宋体" w:cs="仿宋_GB2312"/>
          <w:sz w:val="30"/>
          <w:szCs w:val="30"/>
          <w:highlight w:val="none"/>
          <w:lang w:val="en-US" w:eastAsia="zh-CN"/>
        </w:rPr>
        <w:t>背景</w:t>
      </w:r>
    </w:p>
    <w:p>
      <w:pPr>
        <w:numPr>
          <w:ilvl w:val="0"/>
          <w:numId w:val="0"/>
        </w:numPr>
        <w:ind w:firstLine="600" w:firstLineChars="200"/>
        <w:rPr>
          <w:rFonts w:hint="eastAsia"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2019年国家发展改革委、交通运输部会同有关部门研究制定了《加快推进高速公司电子不停车快捷收费应用服务实施方案》，鼓励ETC在停车场等涉车领域应用，2020年12月底前，基本实现机场、火车站、客运站及港口码头等大型交通场站停车场景ETC服务全覆盖。推广ETC在居民小区、旅游景区等停车场景的应用（省级人民政府，交通运输部）。目前在沈阳作为交通运输部ETC智慧停车试点城市已经建成几家ETC停车场，由辽宁省交通建设投资集团有限责任公司（辽宁高速通智慧出行有限责任公司是交投集团下属高速运营公司的国有独资公司）负责在全省乃至全国范围大范围推广ETC智慧停车的应用。</w:t>
      </w:r>
    </w:p>
    <w:p>
      <w:pPr>
        <w:numPr>
          <w:ilvl w:val="0"/>
          <w:numId w:val="0"/>
        </w:numPr>
        <w:ind w:firstLine="600" w:firstLineChars="200"/>
        <w:rPr>
          <w:rFonts w:hint="eastAsia"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本标准以ETC在停车场应用为背景，针对ETC停车场（库）信息管理系统的管理规范和数据上报接口问题，以开放统一为目标，提出了停车场（库）信息管理系统的基本要求、功能要求和数据上报内容要求等要求，其目的就是解决全省范围推广ETC停车场应用中信息管理系统的管理规范和数据上报接口问题，确保在全省范围内的ETC停车场应用推广工作顺利完成。</w:t>
      </w:r>
    </w:p>
    <w:p>
      <w:pPr>
        <w:numPr>
          <w:ilvl w:val="0"/>
          <w:numId w:val="0"/>
        </w:numPr>
        <w:ind w:firstLine="600" w:firstLineChars="200"/>
        <w:rPr>
          <w:rFonts w:hint="default"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ETC技术应用到停车领域是一个新的模式创新，在国内的传统停车场标准有很多，但不涉及ETC技术应用。</w:t>
      </w:r>
    </w:p>
    <w:p>
      <w:pPr>
        <w:numPr>
          <w:ilvl w:val="0"/>
          <w:numId w:val="0"/>
        </w:numPr>
        <w:ind w:firstLine="600" w:firstLineChars="200"/>
        <w:rPr>
          <w:rFonts w:hint="default"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本标准的颁布和实施，将大大帮助ETC辽宁省停车场大范围和高质量应用落地，进而提升全省停车出行的效率，降低交通拥堵，规范停车收费管理。</w:t>
      </w:r>
    </w:p>
    <w:p>
      <w:pPr>
        <w:numPr>
          <w:ilvl w:val="0"/>
          <w:numId w:val="2"/>
        </w:numPr>
        <w:ind w:left="0" w:leftChars="0" w:firstLine="420" w:firstLineChars="0"/>
        <w:rPr>
          <w:rFonts w:ascii="仿宋_GB2312" w:hAnsi="宋体"/>
          <w:sz w:val="30"/>
          <w:szCs w:val="30"/>
          <w:highlight w:val="none"/>
        </w:rPr>
      </w:pPr>
      <w:r>
        <w:rPr>
          <w:rFonts w:hint="eastAsia" w:ascii="仿宋_GB2312" w:hAnsi="宋体" w:cs="仿宋_GB2312"/>
          <w:sz w:val="30"/>
          <w:szCs w:val="30"/>
          <w:highlight w:val="none"/>
        </w:rPr>
        <w:t>任务来源</w:t>
      </w:r>
    </w:p>
    <w:p>
      <w:pPr>
        <w:numPr>
          <w:ilvl w:val="0"/>
          <w:numId w:val="0"/>
        </w:numPr>
        <w:ind w:firstLine="600" w:firstLineChars="200"/>
        <w:rPr>
          <w:rFonts w:hint="eastAsia"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2021年3月，由</w:t>
      </w:r>
      <w:bookmarkStart w:id="0" w:name="OLE_LINK1"/>
      <w:r>
        <w:rPr>
          <w:rFonts w:hint="eastAsia" w:ascii="仿宋_GB2312" w:hAnsi="宋体" w:cs="仿宋_GB2312"/>
          <w:sz w:val="30"/>
          <w:szCs w:val="30"/>
          <w:highlight w:val="none"/>
          <w:lang w:val="en-US" w:eastAsia="zh-CN"/>
        </w:rPr>
        <w:t>辽宁高速通智慧出行有限责任公司</w:t>
      </w:r>
      <w:bookmarkEnd w:id="0"/>
      <w:r>
        <w:rPr>
          <w:rFonts w:hint="eastAsia" w:ascii="仿宋_GB2312" w:hAnsi="宋体" w:cs="仿宋_GB2312"/>
          <w:sz w:val="30"/>
          <w:szCs w:val="30"/>
          <w:highlight w:val="none"/>
          <w:lang w:val="en-US" w:eastAsia="zh-CN"/>
        </w:rPr>
        <w:t>、沈阳东软交通信息技术有限公司等申请地方标准的立项，根据辽宁省市场监督管理局下达的辽宁省地方标准制修订工作细则（试行），批准《ETC智慧停车场  总则》、《ETC智慧停车场  视觉识别要求》、《ETC智慧停车场  ETC天线设备要求》、《ETC智慧停车场  数据交互要求》、《ETC智慧停车场  运维要求》、《ETC智慧停车场  信息系统建设要求》地方标准的制定。</w:t>
      </w:r>
    </w:p>
    <w:p>
      <w:pPr>
        <w:numPr>
          <w:ilvl w:val="0"/>
          <w:numId w:val="2"/>
        </w:numPr>
        <w:ind w:left="0" w:leftChars="0" w:firstLine="420" w:firstLineChars="0"/>
        <w:rPr>
          <w:rFonts w:ascii="仿宋_GB2312" w:hAnsi="宋体"/>
          <w:sz w:val="30"/>
          <w:szCs w:val="30"/>
          <w:highlight w:val="none"/>
        </w:rPr>
      </w:pPr>
      <w:r>
        <w:rPr>
          <w:rFonts w:hint="eastAsia" w:ascii="仿宋_GB2312" w:hAnsi="宋体" w:cs="仿宋_GB2312"/>
          <w:sz w:val="30"/>
          <w:szCs w:val="30"/>
          <w:highlight w:val="none"/>
        </w:rPr>
        <w:t>协作单位</w:t>
      </w:r>
    </w:p>
    <w:p>
      <w:pPr>
        <w:numPr>
          <w:ilvl w:val="0"/>
          <w:numId w:val="0"/>
        </w:numPr>
        <w:ind w:firstLine="600" w:firstLineChars="200"/>
        <w:rPr>
          <w:rFonts w:hint="eastAsia"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接到任务后，我司立即成立了标准起草小组，成员由信息技术服务、标准化、质检等方面的专家组成。</w:t>
      </w:r>
    </w:p>
    <w:p>
      <w:pPr>
        <w:numPr>
          <w:ilvl w:val="0"/>
          <w:numId w:val="2"/>
        </w:numPr>
        <w:ind w:left="0" w:leftChars="0" w:firstLine="420" w:firstLineChars="0"/>
        <w:rPr>
          <w:rFonts w:hint="default"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主要工作过程</w:t>
      </w:r>
    </w:p>
    <w:p>
      <w:pPr>
        <w:numPr>
          <w:ilvl w:val="0"/>
          <w:numId w:val="0"/>
        </w:numPr>
        <w:ind w:firstLine="600" w:firstLineChars="200"/>
        <w:rPr>
          <w:rFonts w:hint="default" w:ascii="仿宋_GB2312" w:hAnsi="宋体" w:cs="仿宋_GB2312"/>
          <w:sz w:val="30"/>
          <w:szCs w:val="30"/>
          <w:highlight w:val="none"/>
          <w:lang w:val="en-US" w:eastAsia="zh-CN"/>
        </w:rPr>
      </w:pPr>
      <w:r>
        <w:rPr>
          <w:rFonts w:hint="default" w:ascii="仿宋_GB2312" w:hAnsi="宋体" w:cs="仿宋_GB2312"/>
          <w:sz w:val="30"/>
          <w:szCs w:val="30"/>
          <w:highlight w:val="none"/>
          <w:lang w:val="en-US" w:eastAsia="zh-CN"/>
        </w:rPr>
        <w:t>20</w:t>
      </w:r>
      <w:r>
        <w:rPr>
          <w:rFonts w:hint="eastAsia" w:ascii="仿宋_GB2312" w:hAnsi="宋体" w:cs="仿宋_GB2312"/>
          <w:sz w:val="30"/>
          <w:szCs w:val="30"/>
          <w:highlight w:val="none"/>
          <w:lang w:val="en-US" w:eastAsia="zh-CN"/>
        </w:rPr>
        <w:t>21</w:t>
      </w:r>
      <w:r>
        <w:rPr>
          <w:rFonts w:hint="default" w:ascii="仿宋_GB2312" w:hAnsi="宋体" w:cs="仿宋_GB2312"/>
          <w:sz w:val="30"/>
          <w:szCs w:val="30"/>
          <w:highlight w:val="none"/>
          <w:lang w:val="en-US" w:eastAsia="zh-CN"/>
        </w:rPr>
        <w:t>年</w:t>
      </w:r>
      <w:r>
        <w:rPr>
          <w:rFonts w:hint="eastAsia" w:ascii="仿宋_GB2312" w:hAnsi="宋体" w:cs="仿宋_GB2312"/>
          <w:sz w:val="30"/>
          <w:szCs w:val="30"/>
          <w:highlight w:val="none"/>
          <w:lang w:val="en-US" w:eastAsia="zh-CN"/>
        </w:rPr>
        <w:t>3月</w:t>
      </w:r>
      <w:r>
        <w:rPr>
          <w:rFonts w:hint="default" w:ascii="仿宋_GB2312" w:hAnsi="宋体" w:cs="仿宋_GB2312"/>
          <w:sz w:val="30"/>
          <w:szCs w:val="30"/>
          <w:highlight w:val="none"/>
          <w:lang w:val="en-US" w:eastAsia="zh-CN"/>
        </w:rPr>
        <w:t>，获得立项辽宁省地方标准。并</w:t>
      </w:r>
      <w:r>
        <w:rPr>
          <w:rFonts w:hint="eastAsia" w:ascii="仿宋_GB2312" w:hAnsi="宋体" w:cs="仿宋_GB2312"/>
          <w:sz w:val="30"/>
          <w:szCs w:val="30"/>
          <w:highlight w:val="none"/>
          <w:lang w:val="en-US" w:eastAsia="zh-CN"/>
        </w:rPr>
        <w:t>开始组织编写草案。计划于2021年8</w:t>
      </w:r>
      <w:r>
        <w:rPr>
          <w:rFonts w:hint="default" w:ascii="仿宋_GB2312" w:hAnsi="宋体" w:cs="仿宋_GB2312"/>
          <w:sz w:val="30"/>
          <w:szCs w:val="30"/>
          <w:highlight w:val="none"/>
          <w:lang w:val="en-US" w:eastAsia="zh-CN"/>
        </w:rPr>
        <w:t>月</w:t>
      </w:r>
      <w:r>
        <w:rPr>
          <w:rFonts w:hint="eastAsia" w:ascii="仿宋_GB2312" w:hAnsi="宋体" w:cs="仿宋_GB2312"/>
          <w:sz w:val="30"/>
          <w:szCs w:val="30"/>
          <w:highlight w:val="none"/>
          <w:lang w:val="en-US" w:eastAsia="zh-CN"/>
        </w:rPr>
        <w:t>组织编写征求意见稿，征求沈阳三合停车场管理有限公司、沈阳极简科技有限公司、沈阳可丞物业管理有限公司、辽宁速本智能科技有限公司、辽宁文兴车辆服务有限公司和平分公司、辽宁辐库物联科技有限公司、大连停牛停车服务有限公司、沈阳捷安泊城市停车管理有限公司、北京万集科技股份有限公司、沈阳盛达飞建安工程有限公司、辽宁荣溢科技有限公司、杭州立方控股股份有限公司沈阳分公司、沈阳汇骋科技有限公司、沈阳牛艾科技有限公司、沈阳德成软件技术有限公司的意见，并在网上公示</w:t>
      </w:r>
      <w:r>
        <w:rPr>
          <w:rFonts w:hint="default" w:ascii="仿宋_GB2312" w:hAnsi="宋体" w:cs="仿宋_GB2312"/>
          <w:sz w:val="30"/>
          <w:szCs w:val="30"/>
          <w:highlight w:val="none"/>
          <w:lang w:val="en-US" w:eastAsia="zh-CN"/>
        </w:rPr>
        <w:t>。</w:t>
      </w:r>
    </w:p>
    <w:p>
      <w:pPr>
        <w:numPr>
          <w:ilvl w:val="0"/>
          <w:numId w:val="2"/>
        </w:numPr>
        <w:ind w:left="0" w:leftChars="0" w:firstLine="420" w:firstLineChars="0"/>
        <w:rPr>
          <w:rFonts w:ascii="仿宋_GB2312" w:hAnsi="宋体"/>
          <w:sz w:val="30"/>
          <w:szCs w:val="30"/>
          <w:highlight w:val="none"/>
        </w:rPr>
      </w:pPr>
      <w:r>
        <w:rPr>
          <w:rFonts w:hint="eastAsia" w:ascii="仿宋_GB2312" w:hAnsi="宋体" w:cs="仿宋_GB2312"/>
          <w:sz w:val="30"/>
          <w:szCs w:val="30"/>
          <w:highlight w:val="none"/>
        </w:rPr>
        <w:t>主要起草人及其所做的工作</w:t>
      </w:r>
    </w:p>
    <w:p>
      <w:pPr>
        <w:numPr>
          <w:ilvl w:val="0"/>
          <w:numId w:val="0"/>
        </w:numPr>
        <w:ind w:firstLine="600" w:firstLineChars="200"/>
        <w:rPr>
          <w:rFonts w:hint="eastAsia"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辽宁高速通智慧出行有限责任公司、沈阳东软交通信息技术有限公司为编写牵头单位，何沛韬、展恩宁、陈昱靦、朱瑞新、葛大明、王梦麟、王阳、</w:t>
      </w:r>
      <w:r>
        <w:rPr>
          <w:rFonts w:hint="eastAsia" w:hAnsi="宋体"/>
          <w:lang w:eastAsia="zh-CN"/>
        </w:rPr>
        <w:t>肇毓</w:t>
      </w:r>
      <w:r>
        <w:rPr>
          <w:rFonts w:hint="eastAsia" w:ascii="仿宋_GB2312" w:hAnsi="宋体" w:cs="仿宋_GB2312"/>
          <w:sz w:val="30"/>
          <w:szCs w:val="30"/>
          <w:highlight w:val="none"/>
          <w:lang w:val="en-US" w:eastAsia="zh-CN"/>
        </w:rPr>
        <w:t>负责起草工作。</w:t>
      </w:r>
    </w:p>
    <w:p>
      <w:pPr>
        <w:numPr>
          <w:ilvl w:val="0"/>
          <w:numId w:val="1"/>
        </w:numPr>
        <w:ind w:left="0" w:leftChars="0" w:firstLine="0" w:firstLineChars="0"/>
        <w:rPr>
          <w:rFonts w:hint="eastAsia" w:ascii="仿宋_GB2312" w:hAnsi="宋体" w:cs="仿宋_GB2312"/>
          <w:highlight w:val="none"/>
        </w:rPr>
      </w:pPr>
      <w:r>
        <w:rPr>
          <w:rFonts w:hint="eastAsia" w:ascii="仿宋_GB2312" w:hAnsi="宋体" w:cs="仿宋_GB2312"/>
          <w:highlight w:val="none"/>
        </w:rPr>
        <w:t>工作简介</w:t>
      </w:r>
    </w:p>
    <w:p>
      <w:pPr>
        <w:numPr>
          <w:ilvl w:val="0"/>
          <w:numId w:val="3"/>
        </w:numPr>
        <w:ind w:left="0" w:leftChars="0" w:firstLine="420" w:firstLineChars="0"/>
        <w:rPr>
          <w:rFonts w:hint="eastAsia" w:ascii="仿宋_GB2312" w:hAnsi="宋体" w:cs="仿宋_GB2312"/>
          <w:sz w:val="30"/>
          <w:szCs w:val="30"/>
          <w:highlight w:val="none"/>
        </w:rPr>
      </w:pPr>
      <w:r>
        <w:rPr>
          <w:rFonts w:hint="eastAsia" w:ascii="仿宋_GB2312" w:hAnsi="宋体" w:cs="仿宋_GB2312"/>
          <w:sz w:val="30"/>
          <w:szCs w:val="30"/>
          <w:highlight w:val="none"/>
        </w:rPr>
        <w:t>标准编制原则</w:t>
      </w:r>
    </w:p>
    <w:p>
      <w:pPr>
        <w:numPr>
          <w:ilvl w:val="0"/>
          <w:numId w:val="0"/>
        </w:numPr>
        <w:ind w:firstLine="600" w:firstLineChars="200"/>
        <w:rPr>
          <w:rFonts w:hint="eastAsia" w:ascii="仿宋_GB2312" w:hAnsi="宋体" w:cs="仿宋_GB2312"/>
          <w:sz w:val="30"/>
          <w:szCs w:val="30"/>
          <w:highlight w:val="none"/>
          <w:lang w:val="en-US" w:eastAsia="zh-CN"/>
        </w:rPr>
      </w:pPr>
      <w:r>
        <w:rPr>
          <w:rFonts w:hint="eastAsia" w:ascii="仿宋_GB2312" w:hAnsi="宋体" w:cs="仿宋_GB2312"/>
          <w:sz w:val="30"/>
          <w:szCs w:val="30"/>
          <w:highlight w:val="none"/>
          <w:lang w:val="en-US" w:eastAsia="zh-CN"/>
        </w:rPr>
        <w:t>基于本标准的用途和行业特点，本标准的编制遵循了先进性、适用性、可操作性的思路，编制的原则符合以下几个方面：</w:t>
      </w:r>
    </w:p>
    <w:p>
      <w:pPr>
        <w:numPr>
          <w:ilvl w:val="0"/>
          <w:numId w:val="0"/>
        </w:numPr>
        <w:ind w:firstLine="602" w:firstLineChars="200"/>
        <w:rPr>
          <w:rFonts w:hint="eastAsia" w:ascii="仿宋_GB2312" w:hAnsi="宋体" w:cs="仿宋_GB2312"/>
          <w:sz w:val="30"/>
          <w:szCs w:val="30"/>
          <w:highlight w:val="none"/>
          <w:lang w:val="en-US" w:eastAsia="zh-CN"/>
        </w:rPr>
      </w:pPr>
      <w:r>
        <w:rPr>
          <w:rFonts w:hint="eastAsia" w:ascii="仿宋_GB2312" w:hAnsi="宋体" w:cs="仿宋_GB2312"/>
          <w:b/>
          <w:bCs/>
          <w:sz w:val="30"/>
          <w:szCs w:val="30"/>
          <w:highlight w:val="none"/>
          <w:lang w:val="en-US" w:eastAsia="zh-CN"/>
        </w:rPr>
        <w:t>1.先进性原则：</w:t>
      </w:r>
      <w:r>
        <w:rPr>
          <w:rFonts w:hint="eastAsia" w:ascii="仿宋_GB2312" w:hAnsi="宋体" w:cs="仿宋_GB2312"/>
          <w:sz w:val="30"/>
          <w:szCs w:val="30"/>
          <w:highlight w:val="none"/>
          <w:lang w:val="en-US" w:eastAsia="zh-CN"/>
        </w:rPr>
        <w:t>在兼顾当前停车场（库）现实发展情况的同时，体现标准的前瞻性和引导性。在对停车场（库）ETC智慧停车规范化与统一监管，特别是对停车场（库）信息管理系统数据交互、停车场接入服务平台等方面，充分考虑了停车场（库）信息管理工作未来的发展需要；</w:t>
      </w:r>
    </w:p>
    <w:p>
      <w:pPr>
        <w:numPr>
          <w:ilvl w:val="0"/>
          <w:numId w:val="0"/>
        </w:numPr>
        <w:ind w:firstLine="602" w:firstLineChars="200"/>
        <w:rPr>
          <w:rFonts w:hint="eastAsia" w:ascii="仿宋_GB2312" w:hAnsi="宋体" w:cs="仿宋_GB2312"/>
          <w:sz w:val="30"/>
          <w:szCs w:val="30"/>
          <w:highlight w:val="none"/>
          <w:lang w:val="en-US" w:eastAsia="zh-CN"/>
        </w:rPr>
      </w:pPr>
      <w:r>
        <w:rPr>
          <w:rFonts w:hint="eastAsia" w:ascii="仿宋_GB2312" w:hAnsi="宋体" w:cs="仿宋_GB2312"/>
          <w:b/>
          <w:bCs/>
          <w:sz w:val="30"/>
          <w:szCs w:val="30"/>
          <w:highlight w:val="none"/>
          <w:lang w:val="en-US" w:eastAsia="zh-CN"/>
        </w:rPr>
        <w:t>2.适用性原则：</w:t>
      </w:r>
      <w:r>
        <w:rPr>
          <w:rFonts w:hint="eastAsia" w:ascii="仿宋_GB2312" w:hAnsi="宋体" w:cs="仿宋_GB2312"/>
          <w:sz w:val="30"/>
          <w:szCs w:val="30"/>
          <w:highlight w:val="none"/>
          <w:lang w:val="en-US" w:eastAsia="zh-CN"/>
        </w:rPr>
        <w:t>本标准在起草过程中，既考虑了在ETC停车服务软硬件设施方面的共性需求，又充分考虑到不同区域、不同级别停车场（库）管理和服务工作在内容、形式和条件等方面的差异，具有广泛的适用性；</w:t>
      </w:r>
    </w:p>
    <w:p>
      <w:pPr>
        <w:numPr>
          <w:ilvl w:val="0"/>
          <w:numId w:val="0"/>
        </w:numPr>
        <w:ind w:firstLine="602" w:firstLineChars="200"/>
        <w:rPr>
          <w:rFonts w:hint="eastAsia" w:ascii="仿宋_GB2312" w:hAnsi="宋体" w:cs="仿宋_GB2312"/>
          <w:sz w:val="30"/>
          <w:szCs w:val="30"/>
          <w:highlight w:val="none"/>
          <w:lang w:val="en-US" w:eastAsia="zh-CN"/>
        </w:rPr>
      </w:pPr>
      <w:r>
        <w:rPr>
          <w:rFonts w:hint="eastAsia" w:ascii="仿宋_GB2312" w:hAnsi="宋体" w:cs="仿宋_GB2312"/>
          <w:b/>
          <w:bCs/>
          <w:sz w:val="30"/>
          <w:szCs w:val="30"/>
          <w:highlight w:val="none"/>
          <w:lang w:val="en-US" w:eastAsia="zh-CN"/>
        </w:rPr>
        <w:t>3.可操作性原则：</w:t>
      </w:r>
      <w:r>
        <w:rPr>
          <w:rFonts w:hint="eastAsia" w:ascii="仿宋_GB2312" w:hAnsi="宋体" w:cs="仿宋_GB2312"/>
          <w:sz w:val="30"/>
          <w:szCs w:val="30"/>
          <w:highlight w:val="none"/>
          <w:lang w:val="en-US" w:eastAsia="zh-CN"/>
        </w:rPr>
        <w:t>本标准在起草过程中，对相关停车企业、ETC天线设备商、软件开发商进行走访调研，吸纳了各个企业给出的建议，从实际出发，对预接入辽宁高速ETC智慧停车场（库）服务商提出一系列的规范性要求，具有一定的可操作性。</w:t>
      </w:r>
    </w:p>
    <w:p>
      <w:pPr>
        <w:numPr>
          <w:ilvl w:val="0"/>
          <w:numId w:val="3"/>
        </w:numPr>
        <w:ind w:left="0" w:leftChars="0" w:firstLine="420" w:firstLineChars="0"/>
        <w:rPr>
          <w:rFonts w:hint="eastAsia" w:ascii="仿宋_GB2312" w:hAnsi="宋体" w:cs="仿宋_GB2312"/>
          <w:sz w:val="30"/>
          <w:szCs w:val="30"/>
          <w:highlight w:val="none"/>
        </w:rPr>
      </w:pPr>
      <w:r>
        <w:rPr>
          <w:rFonts w:hint="eastAsia" w:ascii="仿宋_GB2312" w:hAnsi="宋体" w:cs="仿宋_GB2312"/>
          <w:sz w:val="30"/>
          <w:szCs w:val="30"/>
          <w:highlight w:val="none"/>
        </w:rPr>
        <w:t>确定地方标准主要内容（如技术指标、参数、公式、性能要求、试验方法、检验规则）的依据</w:t>
      </w:r>
    </w:p>
    <w:p>
      <w:pPr>
        <w:pStyle w:val="8"/>
        <w:ind w:firstLine="560"/>
        <w:rPr>
          <w:rFonts w:hint="default"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本标准依据了《GB/T 1.1-2020 标准化工作导则 第1部分：标准化文件的结构和起草规则》的规定起草，规范性引用了《GB/T 2423.6　电工电子产品环境试验 第2部分:试验方法 试验Eb和导则:碰撞》、《GB/T 2423.13　电工电子产品环境试验 第2部分:试验方法 试验Fdb:宽频带随机振动——中再现性》、《GB/T 2423.18　环境试验 第2部分：试验方法 试验Kb：盐雾，交变（氯化钠溶液）》、《GB/T 17626.2　电磁兼容 试验和测量技术 静电放电抗扰度试验》、《GB/T 17626.5　电磁兼容 试验和测量技术 浪涌（冲击）抗扰度试验》、《GB/T 20851.1—2007　电子收费 专用短程通信 第1部分：物理层》、《GB/T 20851—2019　电子收费专用短程通信》、《GA/T 992—2012　停车库（场）出入口控制设备技术要求》、《ISO 7816　国际智能卡标准》、《IEC 60529 机壳提供的防护等级（IP代码）》《GB 16179　安全标志使用导则》、《JT/T 279-2004　公路交通标志板》等标准。</w:t>
      </w:r>
    </w:p>
    <w:p>
      <w:pPr>
        <w:numPr>
          <w:ilvl w:val="0"/>
          <w:numId w:val="1"/>
        </w:numPr>
        <w:ind w:left="0" w:leftChars="0" w:firstLine="0" w:firstLineChars="0"/>
        <w:rPr>
          <w:rFonts w:hint="eastAsia" w:ascii="仿宋_GB2312" w:hAnsi="宋体" w:cs="仿宋_GB2312"/>
          <w:sz w:val="32"/>
          <w:szCs w:val="32"/>
          <w:highlight w:val="none"/>
        </w:rPr>
      </w:pPr>
      <w:r>
        <w:rPr>
          <w:rFonts w:hint="eastAsia" w:ascii="仿宋_GB2312" w:hAnsi="宋体" w:cs="仿宋_GB2312"/>
          <w:sz w:val="32"/>
          <w:szCs w:val="32"/>
          <w:highlight w:val="none"/>
          <w:lang w:val="en-US" w:eastAsia="zh-CN"/>
        </w:rPr>
        <w:t>预期作用和效益</w:t>
      </w:r>
    </w:p>
    <w:p>
      <w:pPr>
        <w:pStyle w:val="8"/>
        <w:ind w:firstLine="560"/>
        <w:rPr>
          <w:rFonts w:hint="default"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ETC在停车场等设车领域应用是国家发展改革委、交通运输部联合退出的政策，沈阳市是交通运输部ETC智慧停车试点城市，并由辽宁省交通建设投资集团有限责任公司（辽宁省高速通智慧出行有限责任公司是交投集团下属高速运营公司的国有独资公司）负责拓展到全省乃至全国范围的应用。因此该标准颁布和实施，将大大帮助ETC停车场在我省大范围和高质量应用落地，进而提升全省停车出行的效率，降低交通拥堵，规范停车收费管理。</w:t>
      </w:r>
    </w:p>
    <w:p>
      <w:pPr>
        <w:widowControl w:val="0"/>
        <w:numPr>
          <w:ilvl w:val="0"/>
          <w:numId w:val="0"/>
        </w:numPr>
        <w:jc w:val="both"/>
        <w:rPr>
          <w:rFonts w:hint="eastAsia" w:ascii="仿宋_GB2312" w:hAnsi="宋体" w:cs="仿宋_GB2312"/>
          <w:highlight w:val="none"/>
        </w:rPr>
      </w:pPr>
    </w:p>
    <w:p>
      <w:pPr>
        <w:numPr>
          <w:ilvl w:val="0"/>
          <w:numId w:val="1"/>
        </w:numPr>
        <w:ind w:left="0" w:leftChars="0" w:firstLine="0" w:firstLineChars="0"/>
        <w:rPr>
          <w:rFonts w:hint="eastAsia" w:ascii="仿宋_GB2312" w:hAnsi="宋体" w:cs="仿宋_GB2312"/>
          <w:sz w:val="32"/>
          <w:szCs w:val="32"/>
          <w:highlight w:val="none"/>
        </w:rPr>
      </w:pPr>
      <w:r>
        <w:rPr>
          <w:rFonts w:hint="eastAsia" w:ascii="仿宋_GB2312" w:hAnsi="宋体" w:cs="仿宋_GB2312"/>
          <w:sz w:val="32"/>
          <w:szCs w:val="32"/>
          <w:highlight w:val="none"/>
        </w:rPr>
        <w:t>与有关的现行法律、法规和国家标准、行业标准、地方标准的关系</w:t>
      </w:r>
    </w:p>
    <w:p>
      <w:pPr>
        <w:pStyle w:val="8"/>
        <w:ind w:firstLine="560"/>
        <w:rPr>
          <w:rFonts w:hint="eastAsia"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符合现行有关法律、法规和强制性标准的要求。</w:t>
      </w:r>
    </w:p>
    <w:p>
      <w:pPr>
        <w:widowControl w:val="0"/>
        <w:numPr>
          <w:ilvl w:val="0"/>
          <w:numId w:val="0"/>
        </w:numPr>
        <w:jc w:val="both"/>
        <w:rPr>
          <w:rFonts w:hint="eastAsia" w:ascii="仿宋_GB2312" w:hAnsi="宋体" w:cs="仿宋_GB2312"/>
          <w:highlight w:val="none"/>
        </w:rPr>
      </w:pPr>
    </w:p>
    <w:p>
      <w:pPr>
        <w:numPr>
          <w:ilvl w:val="0"/>
          <w:numId w:val="1"/>
        </w:numPr>
        <w:ind w:left="0" w:leftChars="0" w:firstLine="0" w:firstLineChars="0"/>
        <w:rPr>
          <w:rFonts w:hint="eastAsia" w:ascii="仿宋_GB2312" w:hAnsi="宋体" w:cs="仿宋_GB2312"/>
          <w:sz w:val="32"/>
          <w:szCs w:val="32"/>
          <w:highlight w:val="none"/>
        </w:rPr>
      </w:pPr>
      <w:r>
        <w:rPr>
          <w:rFonts w:hint="eastAsia" w:ascii="仿宋_GB2312" w:hAnsi="宋体" w:cs="仿宋_GB2312"/>
          <w:sz w:val="32"/>
          <w:szCs w:val="32"/>
          <w:highlight w:val="none"/>
        </w:rPr>
        <w:t>重大意见分歧的处理结果和依据</w:t>
      </w:r>
    </w:p>
    <w:p>
      <w:pPr>
        <w:pStyle w:val="8"/>
        <w:ind w:firstLine="560"/>
        <w:rPr>
          <w:rFonts w:hint="eastAsia"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无重大分歧意见，其它已按意见要求修改。</w:t>
      </w:r>
    </w:p>
    <w:p>
      <w:pPr>
        <w:widowControl w:val="0"/>
        <w:numPr>
          <w:ilvl w:val="0"/>
          <w:numId w:val="0"/>
        </w:numPr>
        <w:jc w:val="both"/>
        <w:rPr>
          <w:rFonts w:hint="eastAsia" w:ascii="仿宋_GB2312" w:hAnsi="宋体" w:cs="仿宋_GB2312"/>
          <w:highlight w:val="none"/>
        </w:rPr>
      </w:pPr>
    </w:p>
    <w:p>
      <w:pPr>
        <w:numPr>
          <w:ilvl w:val="0"/>
          <w:numId w:val="1"/>
        </w:numPr>
        <w:ind w:left="0" w:leftChars="0" w:firstLine="0" w:firstLineChars="0"/>
        <w:rPr>
          <w:rFonts w:hint="eastAsia" w:ascii="仿宋_GB2312" w:hAnsi="宋体" w:cs="仿宋_GB2312"/>
          <w:sz w:val="32"/>
          <w:szCs w:val="32"/>
          <w:highlight w:val="none"/>
        </w:rPr>
      </w:pPr>
      <w:r>
        <w:rPr>
          <w:rFonts w:hint="eastAsia" w:ascii="仿宋_GB2312" w:hAnsi="宋体" w:cs="仿宋_GB2312"/>
          <w:sz w:val="32"/>
          <w:szCs w:val="32"/>
          <w:highlight w:val="none"/>
        </w:rPr>
        <w:t>作为强制性地方标准或推荐性地方标准的建议</w:t>
      </w:r>
    </w:p>
    <w:p>
      <w:pPr>
        <w:pStyle w:val="8"/>
        <w:ind w:firstLine="560"/>
        <w:rPr>
          <w:rFonts w:hint="eastAsia"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作为推荐性标准。</w:t>
      </w:r>
    </w:p>
    <w:p>
      <w:pPr>
        <w:widowControl w:val="0"/>
        <w:numPr>
          <w:ilvl w:val="0"/>
          <w:numId w:val="0"/>
        </w:numPr>
        <w:jc w:val="both"/>
        <w:rPr>
          <w:rFonts w:hint="eastAsia" w:ascii="仿宋_GB2312" w:hAnsi="宋体" w:cs="仿宋_GB2312"/>
          <w:highlight w:val="none"/>
        </w:rPr>
      </w:pPr>
    </w:p>
    <w:p>
      <w:pPr>
        <w:numPr>
          <w:ilvl w:val="0"/>
          <w:numId w:val="1"/>
        </w:numPr>
        <w:ind w:left="0" w:leftChars="0" w:firstLine="0" w:firstLineChars="0"/>
        <w:rPr>
          <w:rFonts w:hint="eastAsia" w:ascii="仿宋_GB2312" w:hAnsi="宋体" w:cs="仿宋_GB2312"/>
          <w:sz w:val="32"/>
          <w:szCs w:val="32"/>
          <w:highlight w:val="none"/>
        </w:rPr>
      </w:pPr>
      <w:r>
        <w:rPr>
          <w:rFonts w:hint="eastAsia" w:ascii="仿宋_GB2312" w:hAnsi="宋体" w:cs="仿宋_GB2312"/>
          <w:sz w:val="32"/>
          <w:szCs w:val="32"/>
          <w:highlight w:val="none"/>
        </w:rPr>
        <w:t>提出标准实施的建议</w:t>
      </w:r>
    </w:p>
    <w:p>
      <w:pPr>
        <w:pStyle w:val="8"/>
        <w:ind w:firstLine="560"/>
        <w:rPr>
          <w:rFonts w:hint="eastAsia"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在标准通过有关专家审查并在全省发布实施后，建议标准化行政主管部门和行业主管部门加强对该标准的宣传力度，号召和动员全省乃至全国范围ETC停车场采用本标准，并对外公示按本标准实施ETC智慧停车场建设及监督管理。尤其是行业主管部门要强化对相关行业从业人员的培训，使之尽快掌握标准的作用和要点。</w:t>
      </w:r>
    </w:p>
    <w:p>
      <w:pPr>
        <w:widowControl w:val="0"/>
        <w:numPr>
          <w:ilvl w:val="0"/>
          <w:numId w:val="0"/>
        </w:numPr>
        <w:jc w:val="both"/>
        <w:rPr>
          <w:rFonts w:hint="eastAsia" w:ascii="仿宋_GB2312" w:hAnsi="宋体" w:cs="仿宋_GB2312"/>
          <w:highlight w:val="none"/>
        </w:rPr>
      </w:pPr>
    </w:p>
    <w:p>
      <w:pPr>
        <w:numPr>
          <w:ilvl w:val="0"/>
          <w:numId w:val="1"/>
        </w:numPr>
        <w:ind w:left="0" w:leftChars="0" w:firstLine="0" w:firstLineChars="0"/>
        <w:rPr>
          <w:rFonts w:hint="eastAsia" w:ascii="仿宋_GB2312" w:hAnsi="宋体" w:cs="仿宋_GB2312"/>
          <w:sz w:val="32"/>
          <w:szCs w:val="32"/>
          <w:highlight w:val="none"/>
        </w:rPr>
      </w:pPr>
      <w:r>
        <w:rPr>
          <w:rFonts w:hint="eastAsia" w:ascii="仿宋_GB2312" w:hAnsi="宋体" w:cs="仿宋_GB2312"/>
          <w:sz w:val="32"/>
          <w:szCs w:val="32"/>
          <w:highlight w:val="none"/>
        </w:rPr>
        <w:t>其他应予说明的事项</w:t>
      </w:r>
    </w:p>
    <w:p>
      <w:pPr>
        <w:pStyle w:val="8"/>
        <w:ind w:firstLine="560"/>
        <w:rPr>
          <w:rFonts w:hint="eastAsia" w:ascii="仿宋_GB2312" w:hAnsi="宋体" w:eastAsia="仿宋_GB2312" w:cs="仿宋_GB2312"/>
          <w:kern w:val="2"/>
          <w:sz w:val="30"/>
          <w:szCs w:val="30"/>
          <w:highlight w:val="none"/>
          <w:lang w:val="en-US" w:eastAsia="zh-CN" w:bidi="ar-SA"/>
        </w:rPr>
      </w:pPr>
      <w:r>
        <w:rPr>
          <w:rFonts w:hint="eastAsia" w:ascii="仿宋_GB2312" w:hAnsi="宋体" w:eastAsia="仿宋_GB2312" w:cs="仿宋_GB2312"/>
          <w:kern w:val="2"/>
          <w:sz w:val="30"/>
          <w:szCs w:val="30"/>
          <w:highlight w:val="none"/>
          <w:lang w:val="en-US" w:eastAsia="zh-CN" w:bidi="ar-SA"/>
        </w:rPr>
        <w:t>无。</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E50C5"/>
    <w:multiLevelType w:val="singleLevel"/>
    <w:tmpl w:val="CB7E50C5"/>
    <w:lvl w:ilvl="0" w:tentative="0">
      <w:start w:val="1"/>
      <w:numFmt w:val="chineseCounting"/>
      <w:suff w:val="nothing"/>
      <w:lvlText w:val="%1、"/>
      <w:lvlJc w:val="left"/>
      <w:pPr>
        <w:ind w:left="0" w:firstLine="420"/>
      </w:pPr>
      <w:rPr>
        <w:rFonts w:hint="eastAsia"/>
      </w:rPr>
    </w:lvl>
  </w:abstractNum>
  <w:abstractNum w:abstractNumId="1">
    <w:nsid w:val="37C7BE33"/>
    <w:multiLevelType w:val="singleLevel"/>
    <w:tmpl w:val="37C7BE33"/>
    <w:lvl w:ilvl="0" w:tentative="0">
      <w:start w:val="1"/>
      <w:numFmt w:val="chineseCounting"/>
      <w:suff w:val="nothing"/>
      <w:lvlText w:val="（%1）"/>
      <w:lvlJc w:val="left"/>
      <w:pPr>
        <w:ind w:left="0" w:firstLine="420"/>
      </w:pPr>
      <w:rPr>
        <w:rFonts w:hint="eastAsia"/>
      </w:rPr>
    </w:lvl>
  </w:abstractNum>
  <w:abstractNum w:abstractNumId="2">
    <w:nsid w:val="7BF9739D"/>
    <w:multiLevelType w:val="singleLevel"/>
    <w:tmpl w:val="7BF9739D"/>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1F"/>
    <w:rsid w:val="00177EFA"/>
    <w:rsid w:val="002B7A1C"/>
    <w:rsid w:val="00595F5B"/>
    <w:rsid w:val="00A2071F"/>
    <w:rsid w:val="00C569EB"/>
    <w:rsid w:val="00C86D4F"/>
    <w:rsid w:val="03803B70"/>
    <w:rsid w:val="04D11A8C"/>
    <w:rsid w:val="07DE5783"/>
    <w:rsid w:val="0B061FDB"/>
    <w:rsid w:val="0BD9172B"/>
    <w:rsid w:val="0BDA3FC9"/>
    <w:rsid w:val="0C4C66E0"/>
    <w:rsid w:val="0FA53DDF"/>
    <w:rsid w:val="1C394CBA"/>
    <w:rsid w:val="1CB5315D"/>
    <w:rsid w:val="28365332"/>
    <w:rsid w:val="3124492A"/>
    <w:rsid w:val="32E964F3"/>
    <w:rsid w:val="334A15E6"/>
    <w:rsid w:val="372F2F8E"/>
    <w:rsid w:val="3C5275A9"/>
    <w:rsid w:val="3E9651C4"/>
    <w:rsid w:val="46EC3330"/>
    <w:rsid w:val="4A8E31D0"/>
    <w:rsid w:val="4FEA1758"/>
    <w:rsid w:val="508B1A62"/>
    <w:rsid w:val="54D373B0"/>
    <w:rsid w:val="58DB429F"/>
    <w:rsid w:val="5E661AC2"/>
    <w:rsid w:val="5F3D557E"/>
    <w:rsid w:val="63035E88"/>
    <w:rsid w:val="651B5E32"/>
    <w:rsid w:val="6804482A"/>
    <w:rsid w:val="6BC26DF9"/>
    <w:rsid w:val="6C143BD1"/>
    <w:rsid w:val="73512A2E"/>
    <w:rsid w:val="75E058CA"/>
    <w:rsid w:val="781D6DBF"/>
    <w:rsid w:val="78310A72"/>
    <w:rsid w:val="7CDA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微软雅黑"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263</Characters>
  <Lines>2</Lines>
  <Paragraphs>1</Paragraphs>
  <TotalTime>6</TotalTime>
  <ScaleCrop>false</ScaleCrop>
  <LinksUpToDate>false</LinksUpToDate>
  <CharactersWithSpaces>308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2018-03-12T06:34:00Z</dcterms:created>
  <dc:creator>Windows 用户</dc:creator>
  <cp:lastModifiedBy>真由理</cp:lastModifiedBy>
  <dcterms:modified xsi:type="dcterms:W3CDTF">2021-08-23T05:06:35Z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552343541C9548279A61A8A7688C12FD</vt:lpwstr>
  </property>
</Properties>
</file>